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94B" w:rsidRPr="005E094B" w:rsidRDefault="005E094B" w:rsidP="005E094B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>
        <w:rPr>
          <w:rFonts w:ascii="Open Sans SemiBold" w:eastAsia="Times New Roman" w:hAnsi="Open Sans SemiBold" w:cs="Open Sans SemiBold"/>
          <w:b/>
          <w:bCs/>
          <w:noProof/>
          <w:color w:val="17365D" w:themeColor="text2" w:themeShade="BF"/>
          <w:sz w:val="32"/>
          <w:szCs w:val="32"/>
          <w:lang w:val="ru-RU"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3729677</wp:posOffset>
            </wp:positionH>
            <wp:positionV relativeFrom="paragraph">
              <wp:posOffset>-626745</wp:posOffset>
            </wp:positionV>
            <wp:extent cx="1514475" cy="79883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a96a8169256045.64496648d5d8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Open Sans SemiBold" w:eastAsia="Times New Roman" w:hAnsi="Open Sans SemiBold" w:cs="Open Sans SemiBold"/>
          <w:b/>
          <w:bCs/>
          <w:noProof/>
          <w:color w:val="17365D" w:themeColor="text2" w:themeShade="BF"/>
          <w:sz w:val="32"/>
          <w:szCs w:val="32"/>
          <w:lang w:val="ru-RU"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2041175</wp:posOffset>
            </wp:positionH>
            <wp:positionV relativeFrom="paragraph">
              <wp:posOffset>-565150</wp:posOffset>
            </wp:positionV>
            <wp:extent cx="1421570" cy="736382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s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20161" b="28038"/>
                    <a:stretch/>
                  </pic:blipFill>
                  <pic:spPr bwMode="auto">
                    <a:xfrm>
                      <a:off x="0" y="0"/>
                      <a:ext cx="1421570" cy="7363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Open Sans SemiBold" w:eastAsia="Times New Roman" w:hAnsi="Open Sans SemiBold" w:cs="Open Sans SemiBold"/>
          <w:b/>
          <w:bCs/>
          <w:noProof/>
          <w:color w:val="17365D" w:themeColor="text2" w:themeShade="BF"/>
          <w:sz w:val="32"/>
          <w:szCs w:val="32"/>
          <w:lang w:val="ru-RU"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5549360</wp:posOffset>
            </wp:positionH>
            <wp:positionV relativeFrom="paragraph">
              <wp:posOffset>-853348</wp:posOffset>
            </wp:positionV>
            <wp:extent cx="505185" cy="1022949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UNDP_logo.sv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185" cy="1022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F5592">
        <w:rPr>
          <w:rFonts w:ascii="Open Sans SemiBold" w:eastAsia="Times New Roman" w:hAnsi="Open Sans SemiBold" w:cs="Open Sans SemiBold"/>
          <w:b/>
          <w:bCs/>
          <w:noProof/>
          <w:color w:val="17365D" w:themeColor="text2" w:themeShade="BF"/>
          <w:sz w:val="32"/>
          <w:szCs w:val="32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-384175</wp:posOffset>
            </wp:positionV>
            <wp:extent cx="1854200" cy="35693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lobus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37333" b="37000"/>
                    <a:stretch/>
                  </pic:blipFill>
                  <pic:spPr bwMode="auto">
                    <a:xfrm>
                      <a:off x="0" y="0"/>
                      <a:ext cx="1854200" cy="3569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5E094B" w:rsidRDefault="005E094B" w:rsidP="00DD72DA">
      <w:pPr>
        <w:widowControl/>
        <w:shd w:val="clear" w:color="auto" w:fill="FFFFFF"/>
        <w:autoSpaceDE/>
        <w:autoSpaceDN/>
        <w:jc w:val="center"/>
        <w:rPr>
          <w:rFonts w:ascii="Open Sans SemiBold" w:eastAsia="Times New Roman" w:hAnsi="Open Sans SemiBold" w:cs="Open Sans SemiBold"/>
          <w:b/>
          <w:bCs/>
          <w:color w:val="17365D" w:themeColor="text2" w:themeShade="BF"/>
          <w:sz w:val="32"/>
          <w:szCs w:val="32"/>
          <w:lang w:eastAsia="en-GB"/>
        </w:rPr>
      </w:pPr>
    </w:p>
    <w:p w:rsidR="00A94DF7" w:rsidRDefault="00A94DF7" w:rsidP="00DD72DA">
      <w:pPr>
        <w:widowControl/>
        <w:shd w:val="clear" w:color="auto" w:fill="FFFFFF"/>
        <w:autoSpaceDE/>
        <w:autoSpaceDN/>
        <w:jc w:val="center"/>
        <w:rPr>
          <w:rFonts w:ascii="Open Sans SemiBold" w:eastAsia="Times New Roman" w:hAnsi="Open Sans SemiBold" w:cs="Open Sans SemiBold"/>
          <w:b/>
          <w:bCs/>
          <w:color w:val="17365D" w:themeColor="text2" w:themeShade="BF"/>
          <w:sz w:val="32"/>
          <w:szCs w:val="32"/>
          <w:lang w:eastAsia="en-GB"/>
        </w:rPr>
      </w:pPr>
    </w:p>
    <w:p w:rsidR="00DD72DA" w:rsidRPr="004F5592" w:rsidRDefault="00DD72DA" w:rsidP="00DD72DA">
      <w:pPr>
        <w:widowControl/>
        <w:shd w:val="clear" w:color="auto" w:fill="FFFFFF"/>
        <w:autoSpaceDE/>
        <w:autoSpaceDN/>
        <w:jc w:val="center"/>
        <w:rPr>
          <w:rFonts w:ascii="Open Sans SemiBold" w:eastAsia="Times New Roman" w:hAnsi="Open Sans SemiBold" w:cs="Open Sans SemiBold"/>
          <w:b/>
          <w:bCs/>
          <w:color w:val="17365D" w:themeColor="text2" w:themeShade="BF"/>
          <w:sz w:val="32"/>
          <w:szCs w:val="32"/>
          <w:lang w:eastAsia="en-GB"/>
        </w:rPr>
      </w:pPr>
      <w:r w:rsidRPr="004F5592">
        <w:rPr>
          <w:rFonts w:ascii="Open Sans SemiBold" w:eastAsia="Times New Roman" w:hAnsi="Open Sans SemiBold" w:cs="Open Sans SemiBold"/>
          <w:b/>
          <w:bCs/>
          <w:color w:val="17365D" w:themeColor="text2" w:themeShade="BF"/>
          <w:sz w:val="32"/>
          <w:szCs w:val="32"/>
          <w:lang w:eastAsia="en-GB"/>
        </w:rPr>
        <w:t xml:space="preserve">Фінансування </w:t>
      </w:r>
      <w:proofErr w:type="spellStart"/>
      <w:r w:rsidRPr="004F5592">
        <w:rPr>
          <w:rFonts w:ascii="Open Sans SemiBold" w:eastAsia="Times New Roman" w:hAnsi="Open Sans SemiBold" w:cs="Open Sans SemiBold"/>
          <w:b/>
          <w:bCs/>
          <w:color w:val="17365D" w:themeColor="text2" w:themeShade="BF"/>
          <w:sz w:val="32"/>
          <w:szCs w:val="32"/>
          <w:lang w:eastAsia="en-GB"/>
        </w:rPr>
        <w:t>ЕСКО-компаній</w:t>
      </w:r>
      <w:proofErr w:type="spellEnd"/>
      <w:r w:rsidRPr="004F5592">
        <w:rPr>
          <w:rFonts w:ascii="Open Sans SemiBold" w:eastAsia="Times New Roman" w:hAnsi="Open Sans SemiBold" w:cs="Open Sans SemiBold"/>
          <w:b/>
          <w:bCs/>
          <w:color w:val="17365D" w:themeColor="text2" w:themeShade="BF"/>
          <w:sz w:val="32"/>
          <w:szCs w:val="32"/>
          <w:lang w:eastAsia="en-GB"/>
        </w:rPr>
        <w:t xml:space="preserve"> </w:t>
      </w:r>
    </w:p>
    <w:p w:rsidR="00DD72DA" w:rsidRDefault="00DD72DA" w:rsidP="00DD72DA">
      <w:pPr>
        <w:widowControl/>
        <w:shd w:val="clear" w:color="auto" w:fill="FFFFFF"/>
        <w:autoSpaceDE/>
        <w:autoSpaceDN/>
        <w:jc w:val="center"/>
        <w:rPr>
          <w:rFonts w:ascii="Open Sans SemiBold" w:eastAsia="Times New Roman" w:hAnsi="Open Sans SemiBold" w:cs="Open Sans SemiBold"/>
          <w:b/>
          <w:bCs/>
          <w:color w:val="17365D" w:themeColor="text2" w:themeShade="BF"/>
          <w:sz w:val="32"/>
          <w:szCs w:val="32"/>
          <w:lang w:eastAsia="en-GB"/>
        </w:rPr>
      </w:pPr>
      <w:r w:rsidRPr="004F5592">
        <w:rPr>
          <w:rFonts w:ascii="Open Sans SemiBold" w:eastAsia="Times New Roman" w:hAnsi="Open Sans SemiBold" w:cs="Open Sans SemiBold"/>
          <w:b/>
          <w:bCs/>
          <w:color w:val="17365D" w:themeColor="text2" w:themeShade="BF"/>
          <w:sz w:val="32"/>
          <w:szCs w:val="32"/>
          <w:lang w:eastAsia="en-GB"/>
        </w:rPr>
        <w:t>в рамках Програми «Доступні кредити 5-7-9%»</w:t>
      </w:r>
    </w:p>
    <w:p w:rsidR="00A94DF7" w:rsidRPr="004F5592" w:rsidRDefault="00A94DF7" w:rsidP="00DD72DA">
      <w:pPr>
        <w:widowControl/>
        <w:shd w:val="clear" w:color="auto" w:fill="FFFFFF"/>
        <w:autoSpaceDE/>
        <w:autoSpaceDN/>
        <w:jc w:val="center"/>
        <w:rPr>
          <w:rFonts w:ascii="Open Sans SemiBold" w:eastAsia="Times New Roman" w:hAnsi="Open Sans SemiBold" w:cs="Open Sans SemiBold"/>
          <w:b/>
          <w:bCs/>
          <w:color w:val="17365D" w:themeColor="text2" w:themeShade="BF"/>
          <w:sz w:val="32"/>
          <w:szCs w:val="32"/>
          <w:lang w:eastAsia="en-GB"/>
        </w:rPr>
      </w:pPr>
    </w:p>
    <w:p w:rsidR="00DD72DA" w:rsidRPr="004F5592" w:rsidRDefault="00DD72DA" w:rsidP="00DD72DA">
      <w:pPr>
        <w:widowControl/>
        <w:shd w:val="clear" w:color="auto" w:fill="FFFFFF"/>
        <w:autoSpaceDE/>
        <w:autoSpaceDN/>
        <w:rPr>
          <w:rFonts w:ascii="Open Sans" w:eastAsia="Times New Roman" w:hAnsi="Open Sans" w:cs="Open Sans"/>
          <w:color w:val="17365D" w:themeColor="text2" w:themeShade="BF"/>
          <w:sz w:val="10"/>
          <w:szCs w:val="10"/>
          <w:lang w:eastAsia="en-GB"/>
        </w:rPr>
      </w:pPr>
    </w:p>
    <w:p w:rsidR="00DD72DA" w:rsidRPr="004F5592" w:rsidRDefault="00DD72DA" w:rsidP="00DD72DA">
      <w:pPr>
        <w:widowControl/>
        <w:shd w:val="clear" w:color="auto" w:fill="FFFFFF"/>
        <w:autoSpaceDE/>
        <w:autoSpaceDN/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GB"/>
        </w:rPr>
      </w:pPr>
      <w:r w:rsidRPr="004F5592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GB"/>
        </w:rPr>
        <w:t xml:space="preserve">для впровадження </w:t>
      </w:r>
      <w:proofErr w:type="spellStart"/>
      <w:r w:rsidRPr="004F5592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GB"/>
        </w:rPr>
        <w:t>проєкту</w:t>
      </w:r>
      <w:proofErr w:type="spellEnd"/>
      <w:r w:rsidRPr="004F5592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GB"/>
        </w:rPr>
        <w:t xml:space="preserve"> «Усунення бар’єрів для інвестицій в енергоефективність громадських будівель у малих та середніх містах України»</w:t>
      </w:r>
      <w:r w:rsidR="00042448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GB"/>
        </w:rPr>
        <w:t xml:space="preserve">, що </w:t>
      </w:r>
      <w:r w:rsidRPr="004F5592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GB"/>
        </w:rPr>
        <w:t xml:space="preserve">фінансується Програмою розвитку ООН (ПРООН) та реалізується через </w:t>
      </w:r>
      <w:r w:rsidR="00B76264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GB"/>
        </w:rPr>
        <w:t>НУР</w:t>
      </w:r>
      <w:r w:rsidRPr="004F5592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GB"/>
        </w:rPr>
        <w:t>.</w:t>
      </w:r>
    </w:p>
    <w:p w:rsidR="001663D4" w:rsidRPr="00DD72DA" w:rsidRDefault="001663D4" w:rsidP="00DD72DA">
      <w:pPr>
        <w:widowControl/>
        <w:shd w:val="clear" w:color="auto" w:fill="FFFFFF"/>
        <w:autoSpaceDE/>
        <w:autoSpaceDN/>
        <w:rPr>
          <w:rFonts w:ascii="Open Sans" w:eastAsia="Times New Roman" w:hAnsi="Open Sans" w:cs="Open Sans"/>
          <w:color w:val="000000" w:themeColor="text1"/>
          <w:sz w:val="13"/>
          <w:szCs w:val="13"/>
          <w:lang w:eastAsia="en-GB"/>
        </w:rPr>
      </w:pPr>
    </w:p>
    <w:p w:rsidR="00DD72DA" w:rsidRPr="004F5592" w:rsidRDefault="00DD72DA" w:rsidP="00DD72DA">
      <w:pPr>
        <w:widowControl/>
        <w:shd w:val="clear" w:color="auto" w:fill="FFFFFF"/>
        <w:autoSpaceDE/>
        <w:autoSpaceDN/>
        <w:rPr>
          <w:rFonts w:ascii="Open Sans SemiBold" w:eastAsia="Times New Roman" w:hAnsi="Open Sans SemiBold" w:cs="Open Sans SemiBold"/>
          <w:b/>
          <w:bCs/>
          <w:color w:val="17365D" w:themeColor="text2" w:themeShade="BF"/>
          <w:sz w:val="21"/>
          <w:szCs w:val="21"/>
          <w:lang w:eastAsia="en-GB"/>
        </w:rPr>
      </w:pPr>
      <w:r w:rsidRPr="004F5592">
        <w:rPr>
          <w:rFonts w:ascii="Open Sans SemiBold" w:eastAsia="Times New Roman" w:hAnsi="Open Sans SemiBold" w:cs="Open Sans SemiBold"/>
          <w:b/>
          <w:bCs/>
          <w:color w:val="17365D" w:themeColor="text2" w:themeShade="BF"/>
          <w:sz w:val="28"/>
          <w:szCs w:val="28"/>
          <w:lang w:eastAsia="en-GB"/>
        </w:rPr>
        <w:t>Умови фінансування:</w:t>
      </w:r>
    </w:p>
    <w:p w:rsidR="00A1754F" w:rsidRDefault="00042448" w:rsidP="00042448">
      <w:pPr>
        <w:pStyle w:val="a5"/>
        <w:numPr>
          <w:ilvl w:val="0"/>
          <w:numId w:val="3"/>
        </w:numPr>
        <w:ind w:left="426"/>
        <w:rPr>
          <w:rFonts w:ascii="Open Sans" w:hAnsi="Open Sans" w:cs="Open Sans"/>
          <w:color w:val="262626" w:themeColor="text1" w:themeTint="D9"/>
          <w:sz w:val="24"/>
          <w:szCs w:val="24"/>
        </w:rPr>
      </w:pPr>
      <w:r>
        <w:rPr>
          <w:rFonts w:ascii="Open Sans" w:hAnsi="Open Sans" w:cs="Open Sans"/>
          <w:color w:val="262626" w:themeColor="text1" w:themeTint="D9"/>
          <w:sz w:val="24"/>
          <w:szCs w:val="24"/>
          <w:lang w:val="ru-RU"/>
        </w:rPr>
        <w:t>П</w:t>
      </w:r>
      <w:proofErr w:type="spellStart"/>
      <w:r w:rsidR="00CD30A0" w:rsidRPr="004F5592">
        <w:rPr>
          <w:rFonts w:ascii="Open Sans" w:hAnsi="Open Sans" w:cs="Open Sans"/>
          <w:color w:val="262626" w:themeColor="text1" w:themeTint="D9"/>
          <w:sz w:val="24"/>
          <w:szCs w:val="24"/>
        </w:rPr>
        <w:t>роцентна</w:t>
      </w:r>
      <w:proofErr w:type="spellEnd"/>
      <w:r w:rsidR="00CD30A0" w:rsidRPr="004F5592">
        <w:rPr>
          <w:rFonts w:ascii="Open Sans" w:hAnsi="Open Sans" w:cs="Open Sans"/>
          <w:color w:val="262626" w:themeColor="text1" w:themeTint="D9"/>
          <w:sz w:val="24"/>
          <w:szCs w:val="24"/>
        </w:rPr>
        <w:t xml:space="preserve"> ставка:</w:t>
      </w:r>
    </w:p>
    <w:p w:rsidR="00567D61" w:rsidRPr="00567D61" w:rsidRDefault="00567D61" w:rsidP="00567D61">
      <w:pPr>
        <w:pStyle w:val="a5"/>
        <w:numPr>
          <w:ilvl w:val="0"/>
          <w:numId w:val="7"/>
        </w:numPr>
        <w:ind w:left="851" w:hanging="284"/>
        <w:jc w:val="both"/>
        <w:rPr>
          <w:rFonts w:ascii="Open Sans" w:hAnsi="Open Sans" w:cs="Open Sans"/>
          <w:color w:val="262626" w:themeColor="text1" w:themeTint="D9"/>
          <w:sz w:val="24"/>
          <w:szCs w:val="24"/>
        </w:rPr>
      </w:pPr>
      <w:r>
        <w:rPr>
          <w:rFonts w:ascii="Open Sans" w:hAnsi="Open Sans" w:cs="Open Sans"/>
          <w:color w:val="262626" w:themeColor="text1" w:themeTint="D9"/>
          <w:sz w:val="24"/>
          <w:szCs w:val="24"/>
        </w:rPr>
        <w:t>Компенсаційна ставка:</w:t>
      </w:r>
    </w:p>
    <w:p w:rsidR="00A1754F" w:rsidRPr="004F5592" w:rsidRDefault="00CD30A0" w:rsidP="00567D61">
      <w:pPr>
        <w:pStyle w:val="a5"/>
        <w:numPr>
          <w:ilvl w:val="0"/>
          <w:numId w:val="7"/>
        </w:numPr>
        <w:ind w:left="851" w:hanging="284"/>
        <w:jc w:val="both"/>
        <w:rPr>
          <w:rFonts w:ascii="Open Sans" w:hAnsi="Open Sans" w:cs="Open Sans"/>
          <w:color w:val="262626" w:themeColor="text1" w:themeTint="D9"/>
          <w:sz w:val="24"/>
          <w:szCs w:val="24"/>
        </w:rPr>
      </w:pPr>
      <w:r w:rsidRPr="004F5592">
        <w:rPr>
          <w:rFonts w:ascii="Open Sans SemiBold" w:hAnsi="Open Sans SemiBold" w:cs="Open Sans SemiBold"/>
          <w:b/>
          <w:bCs/>
          <w:color w:val="262626" w:themeColor="text1" w:themeTint="D9"/>
          <w:sz w:val="24"/>
          <w:szCs w:val="24"/>
        </w:rPr>
        <w:t>7% (річних)</w:t>
      </w:r>
      <w:r w:rsidRPr="004F5592">
        <w:rPr>
          <w:rFonts w:ascii="Open Sans" w:hAnsi="Open Sans" w:cs="Open Sans"/>
          <w:color w:val="262626" w:themeColor="text1" w:themeTint="D9"/>
          <w:sz w:val="24"/>
          <w:szCs w:val="24"/>
        </w:rPr>
        <w:t xml:space="preserve"> для підприємств, річний дохід яких від фінансової діяльності </w:t>
      </w:r>
      <w:r w:rsidR="000B0A04" w:rsidRPr="004F5592">
        <w:rPr>
          <w:rFonts w:ascii="Open Sans" w:hAnsi="Open Sans" w:cs="Open Sans"/>
          <w:color w:val="262626" w:themeColor="text1" w:themeTint="D9"/>
          <w:sz w:val="24"/>
          <w:szCs w:val="24"/>
        </w:rPr>
        <w:t xml:space="preserve">               </w:t>
      </w:r>
      <w:r w:rsidRPr="004F5592">
        <w:rPr>
          <w:rFonts w:ascii="Open Sans" w:hAnsi="Open Sans" w:cs="Open Sans"/>
          <w:color w:val="262626" w:themeColor="text1" w:themeTint="D9"/>
          <w:sz w:val="24"/>
          <w:szCs w:val="24"/>
        </w:rPr>
        <w:t>не перевищує суму, еквівалентну 10 млн євро або мікро та малий сегмент підприємництва.</w:t>
      </w:r>
    </w:p>
    <w:p w:rsidR="00A1754F" w:rsidRDefault="00CD30A0" w:rsidP="00567D61">
      <w:pPr>
        <w:pStyle w:val="a5"/>
        <w:numPr>
          <w:ilvl w:val="0"/>
          <w:numId w:val="7"/>
        </w:numPr>
        <w:ind w:left="851" w:hanging="284"/>
        <w:jc w:val="both"/>
        <w:rPr>
          <w:rFonts w:ascii="Open Sans" w:hAnsi="Open Sans" w:cs="Open Sans"/>
          <w:color w:val="262626" w:themeColor="text1" w:themeTint="D9"/>
          <w:sz w:val="24"/>
          <w:szCs w:val="24"/>
        </w:rPr>
      </w:pPr>
      <w:r w:rsidRPr="004F5592">
        <w:rPr>
          <w:rFonts w:ascii="Open Sans SemiBold" w:hAnsi="Open Sans SemiBold" w:cs="Open Sans SemiBold"/>
          <w:b/>
          <w:bCs/>
          <w:color w:val="262626" w:themeColor="text1" w:themeTint="D9"/>
          <w:sz w:val="24"/>
          <w:szCs w:val="24"/>
        </w:rPr>
        <w:t>9% (річних)</w:t>
      </w:r>
      <w:r w:rsidRPr="004F5592">
        <w:rPr>
          <w:rFonts w:ascii="Open Sans" w:hAnsi="Open Sans" w:cs="Open Sans"/>
          <w:color w:val="262626" w:themeColor="text1" w:themeTint="D9"/>
          <w:sz w:val="24"/>
          <w:szCs w:val="24"/>
        </w:rPr>
        <w:t xml:space="preserve"> для підприємств, річний дохід яких від фінансової діяльності перевищує суму, еквівалентну 10 млн євро, але не є більшим ніж 50 млн євро </w:t>
      </w:r>
      <w:r w:rsidR="000B0A04" w:rsidRPr="004F5592">
        <w:rPr>
          <w:rFonts w:ascii="Open Sans" w:hAnsi="Open Sans" w:cs="Open Sans"/>
          <w:color w:val="262626" w:themeColor="text1" w:themeTint="D9"/>
          <w:sz w:val="24"/>
          <w:szCs w:val="24"/>
        </w:rPr>
        <w:t xml:space="preserve"> </w:t>
      </w:r>
      <w:r w:rsidRPr="004F5592">
        <w:rPr>
          <w:rFonts w:ascii="Open Sans" w:hAnsi="Open Sans" w:cs="Open Sans"/>
          <w:color w:val="262626" w:themeColor="text1" w:themeTint="D9"/>
          <w:sz w:val="24"/>
          <w:szCs w:val="24"/>
        </w:rPr>
        <w:t>або середній сегмент підприємництва.</w:t>
      </w:r>
    </w:p>
    <w:p w:rsidR="00567D61" w:rsidRDefault="00567D61" w:rsidP="00567D61">
      <w:pPr>
        <w:pStyle w:val="a5"/>
        <w:numPr>
          <w:ilvl w:val="0"/>
          <w:numId w:val="7"/>
        </w:numPr>
        <w:ind w:left="851" w:hanging="284"/>
        <w:jc w:val="both"/>
        <w:rPr>
          <w:rFonts w:ascii="Open Sans" w:hAnsi="Open Sans" w:cs="Open Sans"/>
          <w:color w:val="262626" w:themeColor="text1" w:themeTint="D9"/>
          <w:sz w:val="24"/>
          <w:szCs w:val="24"/>
        </w:rPr>
      </w:pPr>
      <w:r w:rsidRPr="00567D61">
        <w:rPr>
          <w:rFonts w:ascii="Open Sans" w:hAnsi="Open Sans" w:cs="Open Sans"/>
          <w:color w:val="262626" w:themeColor="text1" w:themeTint="D9"/>
          <w:sz w:val="24"/>
          <w:szCs w:val="24"/>
        </w:rPr>
        <w:t>Базова процентна ставка:</w:t>
      </w:r>
      <w:r>
        <w:rPr>
          <w:rFonts w:ascii="Open Sans" w:hAnsi="Open Sans" w:cs="Open Sans"/>
          <w:color w:val="262626" w:themeColor="text1" w:themeTint="D9"/>
          <w:sz w:val="24"/>
          <w:szCs w:val="24"/>
        </w:rPr>
        <w:t xml:space="preserve"> </w:t>
      </w:r>
      <w:r w:rsidRPr="00567D61">
        <w:rPr>
          <w:rFonts w:ascii="Open Sans" w:hAnsi="Open Sans" w:cs="Open Sans"/>
          <w:b/>
          <w:color w:val="262626" w:themeColor="text1" w:themeTint="D9"/>
          <w:sz w:val="24"/>
          <w:szCs w:val="24"/>
        </w:rPr>
        <w:t>UIRD 3 міс. +6%/4%/3%</w:t>
      </w:r>
      <w:r w:rsidRPr="00567D61">
        <w:rPr>
          <w:rFonts w:ascii="Open Sans" w:hAnsi="Open Sans" w:cs="Open Sans"/>
          <w:color w:val="262626" w:themeColor="text1" w:themeTint="D9"/>
          <w:sz w:val="24"/>
          <w:szCs w:val="24"/>
        </w:rPr>
        <w:t xml:space="preserve"> (відповідно для </w:t>
      </w:r>
      <w:proofErr w:type="spellStart"/>
      <w:r w:rsidRPr="00567D61">
        <w:rPr>
          <w:rFonts w:ascii="Open Sans" w:hAnsi="Open Sans" w:cs="Open Sans"/>
          <w:color w:val="262626" w:themeColor="text1" w:themeTint="D9"/>
          <w:sz w:val="24"/>
          <w:szCs w:val="24"/>
        </w:rPr>
        <w:t>мікро</w:t>
      </w:r>
      <w:proofErr w:type="spellEnd"/>
      <w:r w:rsidRPr="00567D61">
        <w:rPr>
          <w:rFonts w:ascii="Open Sans" w:hAnsi="Open Sans" w:cs="Open Sans"/>
          <w:color w:val="262626" w:themeColor="text1" w:themeTint="D9"/>
          <w:sz w:val="24"/>
          <w:szCs w:val="24"/>
        </w:rPr>
        <w:t>/малих/середніх підприємств);</w:t>
      </w:r>
    </w:p>
    <w:p w:rsidR="00567D61" w:rsidRPr="00567D61" w:rsidRDefault="00567D61" w:rsidP="00567D61">
      <w:pPr>
        <w:pStyle w:val="a5"/>
        <w:numPr>
          <w:ilvl w:val="0"/>
          <w:numId w:val="7"/>
        </w:numPr>
        <w:ind w:left="851" w:hanging="284"/>
        <w:jc w:val="both"/>
        <w:rPr>
          <w:rFonts w:ascii="Open Sans" w:hAnsi="Open Sans" w:cs="Open Sans"/>
          <w:color w:val="262626" w:themeColor="text1" w:themeTint="D9"/>
          <w:sz w:val="24"/>
          <w:szCs w:val="24"/>
        </w:rPr>
      </w:pPr>
      <w:r w:rsidRPr="00567D61">
        <w:rPr>
          <w:rFonts w:ascii="Open Sans" w:hAnsi="Open Sans" w:cs="Open Sans"/>
          <w:color w:val="262626" w:themeColor="text1" w:themeTint="D9"/>
          <w:sz w:val="24"/>
          <w:szCs w:val="24"/>
        </w:rPr>
        <w:t xml:space="preserve">Збільшена базова процентна ставка: </w:t>
      </w:r>
      <w:r w:rsidRPr="00567D61">
        <w:rPr>
          <w:rFonts w:ascii="Open Sans" w:hAnsi="Open Sans" w:cs="Open Sans"/>
          <w:b/>
          <w:color w:val="262626" w:themeColor="text1" w:themeTint="D9"/>
          <w:sz w:val="24"/>
          <w:szCs w:val="24"/>
        </w:rPr>
        <w:t>20,00% річних</w:t>
      </w:r>
      <w:r w:rsidRPr="00567D61">
        <w:rPr>
          <w:rFonts w:ascii="Open Sans" w:hAnsi="Open Sans" w:cs="Open Sans"/>
          <w:color w:val="262626" w:themeColor="text1" w:themeTint="D9"/>
          <w:sz w:val="24"/>
          <w:szCs w:val="24"/>
        </w:rPr>
        <w:t xml:space="preserve"> (застосовується протягом всього строку кредитування, у разі, якщо Базова процентна ставка становитиме &lt; 20,00%);</w:t>
      </w:r>
    </w:p>
    <w:p w:rsidR="001663D4" w:rsidRPr="004F5592" w:rsidRDefault="00CD30A0" w:rsidP="000B0A04">
      <w:pPr>
        <w:pStyle w:val="a5"/>
        <w:numPr>
          <w:ilvl w:val="0"/>
          <w:numId w:val="8"/>
        </w:numPr>
        <w:ind w:left="567"/>
        <w:rPr>
          <w:rFonts w:ascii="Open Sans" w:hAnsi="Open Sans" w:cs="Open Sans"/>
          <w:color w:val="262626" w:themeColor="text1" w:themeTint="D9"/>
          <w:sz w:val="24"/>
          <w:szCs w:val="24"/>
        </w:rPr>
      </w:pPr>
      <w:r w:rsidRPr="004F5592">
        <w:rPr>
          <w:rFonts w:ascii="Open Sans" w:hAnsi="Open Sans" w:cs="Open Sans"/>
          <w:color w:val="262626" w:themeColor="text1" w:themeTint="D9"/>
          <w:sz w:val="24"/>
          <w:szCs w:val="24"/>
        </w:rPr>
        <w:t xml:space="preserve">Максимальна сума кредиту: </w:t>
      </w:r>
      <w:r w:rsidRPr="004F5592">
        <w:rPr>
          <w:rFonts w:ascii="Open Sans SemiBold" w:hAnsi="Open Sans SemiBold" w:cs="Open Sans SemiBold"/>
          <w:b/>
          <w:bCs/>
          <w:color w:val="262626" w:themeColor="text1" w:themeTint="D9"/>
          <w:sz w:val="24"/>
          <w:szCs w:val="24"/>
        </w:rPr>
        <w:t>5 000 000,00 грн</w:t>
      </w:r>
      <w:r w:rsidRPr="004F5592">
        <w:rPr>
          <w:rFonts w:ascii="Open Sans" w:hAnsi="Open Sans" w:cs="Open Sans"/>
          <w:color w:val="262626" w:themeColor="text1" w:themeTint="D9"/>
          <w:sz w:val="24"/>
          <w:szCs w:val="24"/>
        </w:rPr>
        <w:t xml:space="preserve">; </w:t>
      </w:r>
    </w:p>
    <w:p w:rsidR="00A1754F" w:rsidRPr="004F5592" w:rsidRDefault="00CD30A0" w:rsidP="000B0A04">
      <w:pPr>
        <w:pStyle w:val="a5"/>
        <w:numPr>
          <w:ilvl w:val="0"/>
          <w:numId w:val="8"/>
        </w:numPr>
        <w:ind w:left="567"/>
        <w:rPr>
          <w:rFonts w:ascii="Open Sans" w:hAnsi="Open Sans" w:cs="Open Sans"/>
          <w:color w:val="262626" w:themeColor="text1" w:themeTint="D9"/>
          <w:sz w:val="24"/>
          <w:szCs w:val="24"/>
        </w:rPr>
      </w:pPr>
      <w:r w:rsidRPr="004F5592">
        <w:rPr>
          <w:rFonts w:ascii="Open Sans" w:hAnsi="Open Sans" w:cs="Open Sans"/>
          <w:color w:val="262626" w:themeColor="text1" w:themeTint="D9"/>
          <w:sz w:val="24"/>
          <w:szCs w:val="24"/>
        </w:rPr>
        <w:t xml:space="preserve">Одноразова комісія: </w:t>
      </w:r>
      <w:r w:rsidRPr="004F5592">
        <w:rPr>
          <w:rFonts w:ascii="Open Sans SemiBold" w:hAnsi="Open Sans SemiBold" w:cs="Open Sans SemiBold"/>
          <w:b/>
          <w:bCs/>
          <w:color w:val="262626" w:themeColor="text1" w:themeTint="D9"/>
          <w:sz w:val="24"/>
          <w:szCs w:val="24"/>
        </w:rPr>
        <w:t>1,5%</w:t>
      </w:r>
      <w:r w:rsidRPr="004F5592">
        <w:rPr>
          <w:rFonts w:ascii="Open Sans" w:hAnsi="Open Sans" w:cs="Open Sans"/>
          <w:color w:val="262626" w:themeColor="text1" w:themeTint="D9"/>
          <w:sz w:val="24"/>
          <w:szCs w:val="24"/>
        </w:rPr>
        <w:t xml:space="preserve"> від суми кредиту;</w:t>
      </w:r>
    </w:p>
    <w:p w:rsidR="00A1754F" w:rsidRPr="004F5592" w:rsidRDefault="00CD30A0" w:rsidP="000B0A04">
      <w:pPr>
        <w:pStyle w:val="a5"/>
        <w:numPr>
          <w:ilvl w:val="0"/>
          <w:numId w:val="8"/>
        </w:numPr>
        <w:ind w:left="567"/>
        <w:rPr>
          <w:rFonts w:ascii="Open Sans" w:hAnsi="Open Sans" w:cs="Open Sans"/>
          <w:color w:val="262626" w:themeColor="text1" w:themeTint="D9"/>
          <w:sz w:val="24"/>
          <w:szCs w:val="24"/>
        </w:rPr>
      </w:pPr>
      <w:r w:rsidRPr="004F5592">
        <w:rPr>
          <w:rFonts w:ascii="Open Sans" w:hAnsi="Open Sans" w:cs="Open Sans"/>
          <w:color w:val="262626" w:themeColor="text1" w:themeTint="D9"/>
          <w:sz w:val="24"/>
          <w:szCs w:val="24"/>
        </w:rPr>
        <w:t xml:space="preserve">Термін кредитування: </w:t>
      </w:r>
      <w:r w:rsidRPr="004F5592">
        <w:rPr>
          <w:rFonts w:ascii="Open Sans SemiBold" w:hAnsi="Open Sans SemiBold" w:cs="Open Sans SemiBold"/>
          <w:b/>
          <w:bCs/>
          <w:color w:val="262626" w:themeColor="text1" w:themeTint="D9"/>
          <w:sz w:val="24"/>
          <w:szCs w:val="24"/>
        </w:rPr>
        <w:t>до 60 місяців</w:t>
      </w:r>
      <w:r w:rsidRPr="004F5592">
        <w:rPr>
          <w:rFonts w:ascii="Open Sans" w:hAnsi="Open Sans" w:cs="Open Sans"/>
          <w:color w:val="262626" w:themeColor="text1" w:themeTint="D9"/>
          <w:sz w:val="24"/>
          <w:szCs w:val="24"/>
        </w:rPr>
        <w:t>;</w:t>
      </w:r>
    </w:p>
    <w:p w:rsidR="00A1754F" w:rsidRPr="004F5592" w:rsidRDefault="00CD30A0" w:rsidP="000B0A04">
      <w:pPr>
        <w:pStyle w:val="a5"/>
        <w:numPr>
          <w:ilvl w:val="0"/>
          <w:numId w:val="8"/>
        </w:numPr>
        <w:ind w:left="567"/>
        <w:rPr>
          <w:rFonts w:ascii="Open Sans" w:hAnsi="Open Sans" w:cs="Open Sans"/>
          <w:color w:val="262626" w:themeColor="text1" w:themeTint="D9"/>
          <w:sz w:val="24"/>
          <w:szCs w:val="24"/>
        </w:rPr>
      </w:pPr>
      <w:r w:rsidRPr="004F5592">
        <w:rPr>
          <w:rFonts w:ascii="Open Sans" w:hAnsi="Open Sans" w:cs="Open Sans"/>
          <w:color w:val="262626" w:themeColor="text1" w:themeTint="D9"/>
          <w:sz w:val="24"/>
          <w:szCs w:val="24"/>
        </w:rPr>
        <w:t>Схема погашення кредиту:</w:t>
      </w:r>
    </w:p>
    <w:p w:rsidR="001663D4" w:rsidRPr="00042448" w:rsidRDefault="00CD30A0" w:rsidP="00D07F56">
      <w:pPr>
        <w:pStyle w:val="a5"/>
        <w:numPr>
          <w:ilvl w:val="0"/>
          <w:numId w:val="9"/>
        </w:numPr>
        <w:ind w:left="851" w:hanging="284"/>
        <w:rPr>
          <w:rFonts w:ascii="Open Sans" w:hAnsi="Open Sans" w:cs="Open Sans"/>
          <w:color w:val="262626" w:themeColor="text1" w:themeTint="D9"/>
          <w:sz w:val="24"/>
          <w:szCs w:val="24"/>
        </w:rPr>
      </w:pPr>
      <w:r w:rsidRPr="00042448">
        <w:rPr>
          <w:rFonts w:ascii="Open Sans SemiBold" w:hAnsi="Open Sans SemiBold" w:cs="Open Sans SemiBold"/>
          <w:b/>
          <w:bCs/>
          <w:color w:val="262626" w:themeColor="text1" w:themeTint="D9"/>
          <w:sz w:val="24"/>
          <w:szCs w:val="24"/>
        </w:rPr>
        <w:t>щомісячно рівними частинами;</w:t>
      </w:r>
      <w:r w:rsidR="00042448" w:rsidRPr="00042448">
        <w:rPr>
          <w:rFonts w:ascii="Open Sans SemiBold" w:hAnsi="Open Sans SemiBold" w:cs="Open Sans SemiBold"/>
          <w:b/>
          <w:bCs/>
          <w:color w:val="262626" w:themeColor="text1" w:themeTint="D9"/>
          <w:sz w:val="24"/>
          <w:szCs w:val="24"/>
          <w:lang w:val="ru-RU"/>
        </w:rPr>
        <w:t xml:space="preserve"> </w:t>
      </w:r>
      <w:r w:rsidRPr="00042448">
        <w:rPr>
          <w:rFonts w:ascii="Open Sans SemiBold" w:hAnsi="Open Sans SemiBold" w:cs="Open Sans SemiBold"/>
          <w:b/>
          <w:bCs/>
          <w:color w:val="262626" w:themeColor="text1" w:themeTint="D9"/>
          <w:sz w:val="24"/>
          <w:szCs w:val="24"/>
        </w:rPr>
        <w:t>адаптований графік погашення</w:t>
      </w:r>
      <w:r w:rsidRPr="00042448">
        <w:rPr>
          <w:rFonts w:ascii="Open Sans" w:hAnsi="Open Sans" w:cs="Open Sans"/>
          <w:color w:val="262626" w:themeColor="text1" w:themeTint="D9"/>
          <w:sz w:val="24"/>
          <w:szCs w:val="24"/>
        </w:rPr>
        <w:t>;</w:t>
      </w:r>
    </w:p>
    <w:p w:rsidR="00A1754F" w:rsidRPr="004F5592" w:rsidRDefault="00CD30A0" w:rsidP="000B0A04">
      <w:pPr>
        <w:pStyle w:val="a5"/>
        <w:numPr>
          <w:ilvl w:val="0"/>
          <w:numId w:val="8"/>
        </w:numPr>
        <w:ind w:left="567"/>
        <w:rPr>
          <w:rFonts w:ascii="Open Sans" w:hAnsi="Open Sans" w:cs="Open Sans"/>
          <w:color w:val="262626" w:themeColor="text1" w:themeTint="D9"/>
          <w:sz w:val="24"/>
          <w:szCs w:val="24"/>
        </w:rPr>
      </w:pPr>
      <w:r w:rsidRPr="004F5592">
        <w:rPr>
          <w:rFonts w:ascii="Open Sans" w:hAnsi="Open Sans" w:cs="Open Sans"/>
          <w:color w:val="262626" w:themeColor="text1" w:themeTint="D9"/>
          <w:sz w:val="24"/>
          <w:szCs w:val="24"/>
        </w:rPr>
        <w:t>Забезпеченням за кредитом є рухоме та нерухоме майно;</w:t>
      </w:r>
    </w:p>
    <w:p w:rsidR="00A1754F" w:rsidRPr="004F5592" w:rsidRDefault="00CD30A0" w:rsidP="000B0A04">
      <w:pPr>
        <w:pStyle w:val="a5"/>
        <w:numPr>
          <w:ilvl w:val="0"/>
          <w:numId w:val="8"/>
        </w:numPr>
        <w:ind w:left="567"/>
        <w:rPr>
          <w:rFonts w:ascii="Open Sans" w:hAnsi="Open Sans" w:cs="Open Sans"/>
          <w:color w:val="262626" w:themeColor="text1" w:themeTint="D9"/>
          <w:sz w:val="24"/>
          <w:szCs w:val="24"/>
        </w:rPr>
      </w:pPr>
      <w:r w:rsidRPr="004F5592">
        <w:rPr>
          <w:rFonts w:ascii="Open Sans" w:hAnsi="Open Sans" w:cs="Open Sans"/>
          <w:color w:val="262626" w:themeColor="text1" w:themeTint="D9"/>
          <w:sz w:val="24"/>
          <w:szCs w:val="24"/>
        </w:rPr>
        <w:t>Фінансова порука засновника або керівника;</w:t>
      </w:r>
    </w:p>
    <w:p w:rsidR="00042448" w:rsidRDefault="00042448" w:rsidP="00042448">
      <w:pPr>
        <w:rPr>
          <w:rFonts w:ascii="Open Sans SemiBold" w:hAnsi="Open Sans SemiBold" w:cs="Open Sans SemiBold"/>
          <w:b/>
          <w:bCs/>
          <w:color w:val="17365D" w:themeColor="text2" w:themeShade="BF"/>
          <w:sz w:val="28"/>
          <w:szCs w:val="28"/>
        </w:rPr>
      </w:pPr>
    </w:p>
    <w:p w:rsidR="00042448" w:rsidRPr="00042448" w:rsidRDefault="00042448" w:rsidP="002B29E4">
      <w:pPr>
        <w:jc w:val="center"/>
        <w:rPr>
          <w:rFonts w:ascii="Open Sans SemiBold" w:hAnsi="Open Sans SemiBold" w:cs="Open Sans SemiBold"/>
          <w:b/>
          <w:bCs/>
          <w:color w:val="17365D" w:themeColor="text2" w:themeShade="BF"/>
          <w:sz w:val="28"/>
          <w:szCs w:val="28"/>
        </w:rPr>
      </w:pPr>
      <w:r w:rsidRPr="00042448">
        <w:rPr>
          <w:rFonts w:ascii="Open Sans SemiBold" w:hAnsi="Open Sans SemiBold" w:cs="Open Sans SemiBold"/>
          <w:b/>
          <w:bCs/>
          <w:color w:val="17365D" w:themeColor="text2" w:themeShade="BF"/>
          <w:sz w:val="28"/>
          <w:szCs w:val="28"/>
        </w:rPr>
        <w:t xml:space="preserve">Надається компенсація до 20% вартості </w:t>
      </w:r>
      <w:proofErr w:type="spellStart"/>
      <w:r w:rsidRPr="00042448">
        <w:rPr>
          <w:rFonts w:ascii="Open Sans SemiBold" w:hAnsi="Open Sans SemiBold" w:cs="Open Sans SemiBold"/>
          <w:b/>
          <w:bCs/>
          <w:color w:val="17365D" w:themeColor="text2" w:themeShade="BF"/>
          <w:sz w:val="28"/>
          <w:szCs w:val="28"/>
        </w:rPr>
        <w:t>енергосервісного</w:t>
      </w:r>
      <w:proofErr w:type="spellEnd"/>
      <w:r w:rsidRPr="00042448">
        <w:rPr>
          <w:rFonts w:ascii="Open Sans SemiBold" w:hAnsi="Open Sans SemiBold" w:cs="Open Sans SemiBold"/>
          <w:b/>
          <w:bCs/>
          <w:color w:val="17365D" w:themeColor="text2" w:themeShade="BF"/>
          <w:sz w:val="28"/>
          <w:szCs w:val="28"/>
        </w:rPr>
        <w:t xml:space="preserve"> договору,                           але не більше</w:t>
      </w:r>
      <w:r w:rsidR="002B29E4" w:rsidRPr="002B29E4">
        <w:rPr>
          <w:rFonts w:ascii="Open Sans SemiBold" w:hAnsi="Open Sans SemiBold" w:cs="Open Sans SemiBold"/>
          <w:b/>
          <w:bCs/>
          <w:color w:val="17365D" w:themeColor="text2" w:themeShade="BF"/>
          <w:sz w:val="28"/>
          <w:szCs w:val="28"/>
          <w:lang w:val="ru-RU"/>
        </w:rPr>
        <w:t xml:space="preserve"> </w:t>
      </w:r>
      <w:r w:rsidR="002B29E4">
        <w:rPr>
          <w:rFonts w:ascii="Open Sans SemiBold" w:hAnsi="Open Sans SemiBold" w:cs="Open Sans SemiBold"/>
          <w:b/>
          <w:bCs/>
          <w:color w:val="17365D" w:themeColor="text2" w:themeShade="BF"/>
          <w:sz w:val="28"/>
          <w:szCs w:val="28"/>
        </w:rPr>
        <w:t xml:space="preserve">ніж </w:t>
      </w:r>
      <w:r w:rsidRPr="00042448">
        <w:rPr>
          <w:rFonts w:ascii="Open Sans SemiBold" w:hAnsi="Open Sans SemiBold" w:cs="Open Sans SemiBold"/>
          <w:b/>
          <w:bCs/>
          <w:color w:val="17365D" w:themeColor="text2" w:themeShade="BF"/>
          <w:sz w:val="28"/>
          <w:szCs w:val="28"/>
        </w:rPr>
        <w:t>1 600 000 грн за одним договором</w:t>
      </w:r>
      <w:r>
        <w:rPr>
          <w:rFonts w:ascii="Open Sans SemiBold" w:hAnsi="Open Sans SemiBold" w:cs="Open Sans SemiBold"/>
          <w:b/>
          <w:bCs/>
          <w:color w:val="17365D" w:themeColor="text2" w:themeShade="BF"/>
          <w:sz w:val="28"/>
          <w:szCs w:val="28"/>
        </w:rPr>
        <w:t>,</w:t>
      </w:r>
    </w:p>
    <w:p w:rsidR="00042448" w:rsidRDefault="00042448" w:rsidP="002B29E4">
      <w:pPr>
        <w:jc w:val="center"/>
        <w:rPr>
          <w:rFonts w:ascii="Open Sans SemiBold" w:hAnsi="Open Sans SemiBold" w:cs="Open Sans SemiBold"/>
          <w:b/>
          <w:bCs/>
          <w:color w:val="17365D" w:themeColor="text2" w:themeShade="BF"/>
          <w:sz w:val="28"/>
          <w:szCs w:val="28"/>
        </w:rPr>
      </w:pPr>
      <w:r w:rsidRPr="00042448">
        <w:rPr>
          <w:rFonts w:ascii="Open Sans SemiBold" w:hAnsi="Open Sans SemiBold" w:cs="Open Sans SemiBold"/>
          <w:b/>
          <w:bCs/>
          <w:color w:val="17365D" w:themeColor="text2" w:themeShade="BF"/>
          <w:sz w:val="28"/>
          <w:szCs w:val="28"/>
        </w:rPr>
        <w:t>4 000 000 грн за всіма договорами, що беруть участь у Програмі</w:t>
      </w:r>
    </w:p>
    <w:p w:rsidR="00042448" w:rsidRDefault="00042448" w:rsidP="001663D4">
      <w:pPr>
        <w:rPr>
          <w:rFonts w:ascii="Open Sans SemiBold" w:hAnsi="Open Sans SemiBold" w:cs="Open Sans SemiBold"/>
          <w:b/>
          <w:bCs/>
          <w:color w:val="17365D" w:themeColor="text2" w:themeShade="BF"/>
          <w:sz w:val="28"/>
          <w:szCs w:val="28"/>
        </w:rPr>
      </w:pPr>
    </w:p>
    <w:p w:rsidR="00CD30A0" w:rsidRDefault="00CD30A0" w:rsidP="001663D4">
      <w:pPr>
        <w:rPr>
          <w:rFonts w:ascii="Open Sans SemiBold" w:hAnsi="Open Sans SemiBold" w:cs="Open Sans SemiBold"/>
          <w:b/>
          <w:bCs/>
          <w:color w:val="17365D" w:themeColor="text2" w:themeShade="BF"/>
          <w:sz w:val="28"/>
          <w:szCs w:val="28"/>
        </w:rPr>
      </w:pPr>
      <w:r w:rsidRPr="004F5592">
        <w:rPr>
          <w:rFonts w:ascii="Open Sans SemiBold" w:hAnsi="Open Sans SemiBold" w:cs="Open Sans SemiBold"/>
          <w:b/>
          <w:bCs/>
          <w:color w:val="17365D" w:themeColor="text2" w:themeShade="BF"/>
          <w:sz w:val="28"/>
          <w:szCs w:val="28"/>
        </w:rPr>
        <w:t>Наші контакти:</w:t>
      </w:r>
    </w:p>
    <w:p w:rsidR="00DD5797" w:rsidRDefault="00DD5797" w:rsidP="001663D4">
      <w:pPr>
        <w:pStyle w:val="a5"/>
        <w:numPr>
          <w:ilvl w:val="0"/>
          <w:numId w:val="10"/>
        </w:numPr>
        <w:ind w:left="567"/>
        <w:rPr>
          <w:rFonts w:ascii="Open Sans" w:hAnsi="Open Sans" w:cs="Open Sans"/>
          <w:color w:val="262626" w:themeColor="text1" w:themeTint="D9"/>
          <w:sz w:val="24"/>
          <w:szCs w:val="24"/>
        </w:rPr>
      </w:pPr>
    </w:p>
    <w:p w:rsidR="000B0A04" w:rsidRPr="004F5592" w:rsidRDefault="00CD30A0" w:rsidP="001663D4">
      <w:pPr>
        <w:pStyle w:val="a5"/>
        <w:numPr>
          <w:ilvl w:val="0"/>
          <w:numId w:val="10"/>
        </w:numPr>
        <w:ind w:left="567"/>
        <w:rPr>
          <w:rFonts w:ascii="Open Sans" w:hAnsi="Open Sans" w:cs="Open Sans"/>
          <w:color w:val="262626" w:themeColor="text1" w:themeTint="D9"/>
          <w:sz w:val="24"/>
          <w:szCs w:val="24"/>
        </w:rPr>
      </w:pPr>
      <w:r w:rsidRPr="004F5592">
        <w:rPr>
          <w:rFonts w:ascii="Open Sans" w:hAnsi="Open Sans" w:cs="Open Sans"/>
          <w:color w:val="262626" w:themeColor="text1" w:themeTint="D9"/>
          <w:sz w:val="24"/>
          <w:szCs w:val="24"/>
        </w:rPr>
        <w:t xml:space="preserve">Оксана Шульга директор департаменту малого та середнього бізнесу </w:t>
      </w:r>
      <w:r w:rsidR="000B0A04" w:rsidRPr="004F5592">
        <w:rPr>
          <w:rFonts w:ascii="Open Sans" w:hAnsi="Open Sans" w:cs="Open Sans"/>
          <w:color w:val="262626" w:themeColor="text1" w:themeTint="D9"/>
          <w:sz w:val="24"/>
          <w:szCs w:val="24"/>
        </w:rPr>
        <w:t xml:space="preserve">                       </w:t>
      </w:r>
      <w:r w:rsidRPr="004F5592">
        <w:rPr>
          <w:rFonts w:ascii="Open Sans" w:hAnsi="Open Sans" w:cs="Open Sans"/>
          <w:color w:val="262626" w:themeColor="text1" w:themeTint="D9"/>
          <w:sz w:val="24"/>
          <w:szCs w:val="24"/>
        </w:rPr>
        <w:t xml:space="preserve">тел.: </w:t>
      </w:r>
      <w:r w:rsidR="00E12C74">
        <w:t>097 721 87 43</w:t>
      </w:r>
      <w:r w:rsidRPr="004F5592">
        <w:rPr>
          <w:rFonts w:ascii="Open Sans" w:hAnsi="Open Sans" w:cs="Open Sans"/>
          <w:color w:val="262626" w:themeColor="text1" w:themeTint="D9"/>
          <w:sz w:val="24"/>
          <w:szCs w:val="24"/>
        </w:rPr>
        <w:t xml:space="preserve">,  </w:t>
      </w:r>
      <w:hyperlink r:id="rId11" w:history="1">
        <w:r w:rsidR="00A94DF7" w:rsidRPr="00500C9E">
          <w:rPr>
            <w:rStyle w:val="a7"/>
            <w:rFonts w:ascii="Open Sans" w:hAnsi="Open Sans" w:cs="Open Sans"/>
            <w:sz w:val="24"/>
            <w:szCs w:val="24"/>
          </w:rPr>
          <w:t>OShu</w:t>
        </w:r>
        <w:r w:rsidR="00A94DF7" w:rsidRPr="00500C9E">
          <w:rPr>
            <w:rStyle w:val="a7"/>
            <w:rFonts w:ascii="Open Sans" w:hAnsi="Open Sans" w:cs="Open Sans"/>
            <w:sz w:val="24"/>
            <w:szCs w:val="24"/>
            <w:lang w:val="en-US"/>
          </w:rPr>
          <w:t>l</w:t>
        </w:r>
        <w:r w:rsidR="00A94DF7" w:rsidRPr="00500C9E">
          <w:rPr>
            <w:rStyle w:val="a7"/>
            <w:rFonts w:ascii="Open Sans" w:hAnsi="Open Sans" w:cs="Open Sans"/>
            <w:sz w:val="24"/>
            <w:szCs w:val="24"/>
          </w:rPr>
          <w:t>ga@globusbank.com.ua</w:t>
        </w:r>
      </w:hyperlink>
      <w:r w:rsidRPr="004F5592">
        <w:rPr>
          <w:rFonts w:ascii="Open Sans" w:hAnsi="Open Sans" w:cs="Open Sans"/>
          <w:color w:val="262626" w:themeColor="text1" w:themeTint="D9"/>
          <w:sz w:val="24"/>
          <w:szCs w:val="24"/>
        </w:rPr>
        <w:t xml:space="preserve"> </w:t>
      </w:r>
    </w:p>
    <w:p w:rsidR="00CD30A0" w:rsidRPr="002B29E4" w:rsidRDefault="00CD30A0" w:rsidP="001663D4">
      <w:pPr>
        <w:pStyle w:val="a5"/>
        <w:numPr>
          <w:ilvl w:val="0"/>
          <w:numId w:val="10"/>
        </w:numPr>
        <w:ind w:left="567"/>
        <w:rPr>
          <w:rFonts w:ascii="Open Sans" w:hAnsi="Open Sans" w:cs="Open Sans"/>
          <w:color w:val="262626" w:themeColor="text1" w:themeTint="D9"/>
          <w:sz w:val="24"/>
          <w:szCs w:val="24"/>
        </w:rPr>
      </w:pPr>
      <w:r w:rsidRPr="004F5592">
        <w:rPr>
          <w:rFonts w:ascii="Open Sans" w:hAnsi="Open Sans" w:cs="Open Sans"/>
          <w:color w:val="262626" w:themeColor="text1" w:themeTint="D9"/>
          <w:sz w:val="24"/>
          <w:szCs w:val="24"/>
        </w:rPr>
        <w:t xml:space="preserve">Євгенія Хруленко начальник відділу по роботі з партнерами </w:t>
      </w:r>
      <w:r w:rsidR="000B0A04" w:rsidRPr="004F5592">
        <w:rPr>
          <w:rFonts w:ascii="Open Sans" w:hAnsi="Open Sans" w:cs="Open Sans"/>
          <w:color w:val="262626" w:themeColor="text1" w:themeTint="D9"/>
          <w:sz w:val="24"/>
          <w:szCs w:val="24"/>
        </w:rPr>
        <w:t xml:space="preserve">                                         </w:t>
      </w:r>
      <w:r w:rsidRPr="004F5592">
        <w:rPr>
          <w:rFonts w:ascii="Open Sans" w:hAnsi="Open Sans" w:cs="Open Sans"/>
          <w:color w:val="262626" w:themeColor="text1" w:themeTint="D9"/>
          <w:sz w:val="24"/>
          <w:szCs w:val="24"/>
        </w:rPr>
        <w:t xml:space="preserve">тел.: 067 220 99 53,  </w:t>
      </w:r>
      <w:hyperlink r:id="rId12" w:history="1">
        <w:r w:rsidRPr="004F5592">
          <w:rPr>
            <w:rStyle w:val="a7"/>
            <w:rFonts w:ascii="Open Sans" w:hAnsi="Open Sans" w:cs="Open Sans"/>
            <w:color w:val="262626" w:themeColor="text1" w:themeTint="D9"/>
            <w:sz w:val="24"/>
            <w:szCs w:val="24"/>
          </w:rPr>
          <w:t>Yehrulenko@globusbank.com.ua</w:t>
        </w:r>
      </w:hyperlink>
      <w:r w:rsidRPr="004F5592">
        <w:rPr>
          <w:rFonts w:ascii="Open Sans" w:hAnsi="Open Sans" w:cs="Open Sans"/>
          <w:color w:val="262626" w:themeColor="text1" w:themeTint="D9"/>
          <w:sz w:val="24"/>
          <w:szCs w:val="24"/>
        </w:rPr>
        <w:t xml:space="preserve"> </w:t>
      </w:r>
    </w:p>
    <w:p w:rsidR="002B29E4" w:rsidRPr="005E094B" w:rsidRDefault="002B29E4" w:rsidP="002B29E4">
      <w:pPr>
        <w:pStyle w:val="a5"/>
        <w:ind w:left="567" w:firstLine="0"/>
        <w:rPr>
          <w:rFonts w:ascii="Open Sans" w:hAnsi="Open Sans" w:cs="Open Sans"/>
          <w:color w:val="262626" w:themeColor="text1" w:themeTint="D9"/>
          <w:sz w:val="24"/>
          <w:szCs w:val="24"/>
          <w:lang w:val="ru-RU"/>
        </w:rPr>
      </w:pPr>
    </w:p>
    <w:p w:rsidR="002B29E4" w:rsidRPr="002B29E4" w:rsidRDefault="005E094B" w:rsidP="002B29E4">
      <w:pPr>
        <w:pStyle w:val="a5"/>
        <w:ind w:left="567" w:firstLine="0"/>
        <w:rPr>
          <w:rFonts w:ascii="Open Sans" w:hAnsi="Open Sans" w:cs="Open Sans"/>
          <w:color w:val="262626" w:themeColor="text1" w:themeTint="D9"/>
          <w:sz w:val="24"/>
          <w:szCs w:val="24"/>
        </w:rPr>
      </w:pPr>
      <w:bookmarkStart w:id="0" w:name="_GoBack"/>
      <w:bookmarkEnd w:id="0"/>
      <w:r w:rsidRPr="002B29E4">
        <w:rPr>
          <w:rFonts w:ascii="Open Sans" w:hAnsi="Open Sans" w:cs="Open Sans"/>
          <w:noProof/>
          <w:color w:val="262626" w:themeColor="text1" w:themeTint="D9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4626610</wp:posOffset>
            </wp:positionH>
            <wp:positionV relativeFrom="paragraph">
              <wp:posOffset>238768</wp:posOffset>
            </wp:positionV>
            <wp:extent cx="1755159" cy="781685"/>
            <wp:effectExtent l="0" t="0" r="0" b="0"/>
            <wp:wrapNone/>
            <wp:docPr id="7" name="Рисунок 6" descr="C:\Users\NKopyl\Desktop\Untitl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Kopyl\Desktop\Untitled-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159" cy="78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29E4" w:rsidRPr="002B29E4" w:rsidRDefault="002B29E4" w:rsidP="005E094B">
      <w:pPr>
        <w:pStyle w:val="a5"/>
        <w:shd w:val="clear" w:color="auto" w:fill="FFFFFF"/>
        <w:spacing w:after="200" w:line="276" w:lineRule="auto"/>
        <w:ind w:left="0" w:right="2266" w:firstLine="0"/>
        <w:rPr>
          <w:rFonts w:ascii="Open Sans" w:hAnsi="Open Sans" w:cs="Open Sans"/>
          <w:color w:val="262626" w:themeColor="text1" w:themeTint="D9"/>
        </w:rPr>
      </w:pPr>
      <w:r w:rsidRPr="002B29E4">
        <w:rPr>
          <w:rFonts w:ascii="Open Sans" w:hAnsi="Open Sans" w:cs="Open Sans"/>
          <w:color w:val="262626" w:themeColor="text1" w:themeTint="D9"/>
        </w:rPr>
        <w:t xml:space="preserve">Дані Умови кредитування не є рекламою та надаються виключно </w:t>
      </w:r>
      <w:r w:rsidR="005E094B" w:rsidRPr="005E094B">
        <w:rPr>
          <w:rFonts w:ascii="Open Sans" w:hAnsi="Open Sans" w:cs="Open Sans"/>
          <w:color w:val="262626" w:themeColor="text1" w:themeTint="D9"/>
        </w:rPr>
        <w:t xml:space="preserve">                       </w:t>
      </w:r>
      <w:r w:rsidRPr="002B29E4">
        <w:rPr>
          <w:rFonts w:ascii="Open Sans" w:hAnsi="Open Sans" w:cs="Open Sans"/>
          <w:color w:val="262626" w:themeColor="text1" w:themeTint="D9"/>
        </w:rPr>
        <w:t>з метою попереднього ознайомлення з умовами кредитування</w:t>
      </w:r>
      <w:r w:rsidR="005E094B" w:rsidRPr="005E094B">
        <w:rPr>
          <w:rFonts w:ascii="Open Sans" w:hAnsi="Open Sans" w:cs="Open Sans"/>
          <w:color w:val="262626" w:themeColor="text1" w:themeTint="D9"/>
        </w:rPr>
        <w:t xml:space="preserve"> </w:t>
      </w:r>
      <w:r w:rsidR="005E094B" w:rsidRPr="00567D61">
        <w:rPr>
          <w:rFonts w:ascii="Open Sans" w:hAnsi="Open Sans" w:cs="Open Sans"/>
          <w:color w:val="262626" w:themeColor="text1" w:themeTint="D9"/>
        </w:rPr>
        <w:t xml:space="preserve">                       </w:t>
      </w:r>
      <w:r w:rsidRPr="002B29E4">
        <w:rPr>
          <w:rFonts w:ascii="Open Sans" w:hAnsi="Open Sans" w:cs="Open Sans"/>
          <w:color w:val="262626" w:themeColor="text1" w:themeTint="D9"/>
        </w:rPr>
        <w:t xml:space="preserve"> у АТ «КБ «ГЛОБУС». Ліцензія НБУ №240 від 21.01.2019р</w:t>
      </w:r>
      <w:r w:rsidRPr="002B29E4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   </w:t>
      </w:r>
    </w:p>
    <w:sectPr w:rsidR="002B29E4" w:rsidRPr="002B29E4" w:rsidSect="00567D61">
      <w:type w:val="continuous"/>
      <w:pgSz w:w="11920" w:h="16850"/>
      <w:pgMar w:top="1530" w:right="721" w:bottom="520" w:left="1018" w:header="0" w:footer="33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E93" w:rsidRDefault="009B2E93" w:rsidP="00A1754F">
      <w:r>
        <w:separator/>
      </w:r>
    </w:p>
  </w:endnote>
  <w:endnote w:type="continuationSeparator" w:id="0">
    <w:p w:rsidR="009B2E93" w:rsidRDefault="009B2E93" w:rsidP="00A175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 SemiBold">
    <w:altName w:val="DejaVu Sans Condensed"/>
    <w:charset w:val="00"/>
    <w:family w:val="swiss"/>
    <w:pitch w:val="variable"/>
    <w:sig w:usb0="00000001" w:usb1="4000205B" w:usb2="00000028" w:usb3="00000000" w:csb0="000001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E93" w:rsidRDefault="009B2E93" w:rsidP="00A1754F">
      <w:r>
        <w:separator/>
      </w:r>
    </w:p>
  </w:footnote>
  <w:footnote w:type="continuationSeparator" w:id="0">
    <w:p w:rsidR="009B2E93" w:rsidRDefault="009B2E93" w:rsidP="00A175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036A3"/>
    <w:multiLevelType w:val="hybridMultilevel"/>
    <w:tmpl w:val="7174E85E"/>
    <w:lvl w:ilvl="0" w:tplc="E4B6D0CA">
      <w:start w:val="1"/>
      <w:numFmt w:val="decimal"/>
      <w:lvlText w:val="%1."/>
      <w:lvlJc w:val="left"/>
      <w:pPr>
        <w:ind w:left="539" w:hanging="35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42424"/>
        <w:spacing w:val="-1"/>
        <w:w w:val="99"/>
        <w:sz w:val="20"/>
        <w:szCs w:val="20"/>
        <w:lang w:val="uk-UA" w:eastAsia="en-US" w:bidi="ar-SA"/>
      </w:rPr>
    </w:lvl>
    <w:lvl w:ilvl="1" w:tplc="7A58EB08">
      <w:numFmt w:val="bullet"/>
      <w:lvlText w:val=""/>
      <w:lvlJc w:val="left"/>
      <w:pPr>
        <w:ind w:left="433" w:hanging="286"/>
      </w:pPr>
      <w:rPr>
        <w:rFonts w:ascii="Symbol" w:eastAsia="Symbol" w:hAnsi="Symbol" w:cs="Symbol" w:hint="default"/>
        <w:b w:val="0"/>
        <w:bCs w:val="0"/>
        <w:i w:val="0"/>
        <w:iCs w:val="0"/>
        <w:color w:val="242424"/>
        <w:spacing w:val="0"/>
        <w:w w:val="99"/>
        <w:sz w:val="20"/>
        <w:szCs w:val="20"/>
        <w:lang w:val="uk-UA" w:eastAsia="en-US" w:bidi="ar-SA"/>
      </w:rPr>
    </w:lvl>
    <w:lvl w:ilvl="2" w:tplc="2F067C38">
      <w:numFmt w:val="bullet"/>
      <w:lvlText w:val="•"/>
      <w:lvlJc w:val="left"/>
      <w:pPr>
        <w:ind w:left="1603" w:hanging="286"/>
      </w:pPr>
      <w:rPr>
        <w:rFonts w:hint="default"/>
        <w:lang w:val="uk-UA" w:eastAsia="en-US" w:bidi="ar-SA"/>
      </w:rPr>
    </w:lvl>
    <w:lvl w:ilvl="3" w:tplc="1278E840">
      <w:numFmt w:val="bullet"/>
      <w:lvlText w:val="•"/>
      <w:lvlJc w:val="left"/>
      <w:pPr>
        <w:ind w:left="2666" w:hanging="286"/>
      </w:pPr>
      <w:rPr>
        <w:rFonts w:hint="default"/>
        <w:lang w:val="uk-UA" w:eastAsia="en-US" w:bidi="ar-SA"/>
      </w:rPr>
    </w:lvl>
    <w:lvl w:ilvl="4" w:tplc="A6FA335A">
      <w:numFmt w:val="bullet"/>
      <w:lvlText w:val="•"/>
      <w:lvlJc w:val="left"/>
      <w:pPr>
        <w:ind w:left="3730" w:hanging="286"/>
      </w:pPr>
      <w:rPr>
        <w:rFonts w:hint="default"/>
        <w:lang w:val="uk-UA" w:eastAsia="en-US" w:bidi="ar-SA"/>
      </w:rPr>
    </w:lvl>
    <w:lvl w:ilvl="5" w:tplc="93386058">
      <w:numFmt w:val="bullet"/>
      <w:lvlText w:val="•"/>
      <w:lvlJc w:val="left"/>
      <w:pPr>
        <w:ind w:left="4793" w:hanging="286"/>
      </w:pPr>
      <w:rPr>
        <w:rFonts w:hint="default"/>
        <w:lang w:val="uk-UA" w:eastAsia="en-US" w:bidi="ar-SA"/>
      </w:rPr>
    </w:lvl>
    <w:lvl w:ilvl="6" w:tplc="88186D7A">
      <w:numFmt w:val="bullet"/>
      <w:lvlText w:val="•"/>
      <w:lvlJc w:val="left"/>
      <w:pPr>
        <w:ind w:left="5857" w:hanging="286"/>
      </w:pPr>
      <w:rPr>
        <w:rFonts w:hint="default"/>
        <w:lang w:val="uk-UA" w:eastAsia="en-US" w:bidi="ar-SA"/>
      </w:rPr>
    </w:lvl>
    <w:lvl w:ilvl="7" w:tplc="5A4EE89A">
      <w:numFmt w:val="bullet"/>
      <w:lvlText w:val="•"/>
      <w:lvlJc w:val="left"/>
      <w:pPr>
        <w:ind w:left="6920" w:hanging="286"/>
      </w:pPr>
      <w:rPr>
        <w:rFonts w:hint="default"/>
        <w:lang w:val="uk-UA" w:eastAsia="en-US" w:bidi="ar-SA"/>
      </w:rPr>
    </w:lvl>
    <w:lvl w:ilvl="8" w:tplc="ED384334">
      <w:numFmt w:val="bullet"/>
      <w:lvlText w:val="•"/>
      <w:lvlJc w:val="left"/>
      <w:pPr>
        <w:ind w:left="7984" w:hanging="286"/>
      </w:pPr>
      <w:rPr>
        <w:rFonts w:hint="default"/>
        <w:lang w:val="uk-UA" w:eastAsia="en-US" w:bidi="ar-SA"/>
      </w:rPr>
    </w:lvl>
  </w:abstractNum>
  <w:abstractNum w:abstractNumId="1">
    <w:nsid w:val="07E34E0E"/>
    <w:multiLevelType w:val="hybridMultilevel"/>
    <w:tmpl w:val="5F6C3A30"/>
    <w:lvl w:ilvl="0" w:tplc="2F067C38">
      <w:numFmt w:val="bullet"/>
      <w:lvlText w:val="•"/>
      <w:lvlJc w:val="left"/>
      <w:pPr>
        <w:ind w:left="720" w:hanging="360"/>
      </w:pPr>
      <w:rPr>
        <w:rFonts w:hint="default"/>
        <w:lang w:val="uk-UA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274A7"/>
    <w:multiLevelType w:val="multilevel"/>
    <w:tmpl w:val="04523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973703"/>
    <w:multiLevelType w:val="hybridMultilevel"/>
    <w:tmpl w:val="6A828452"/>
    <w:lvl w:ilvl="0" w:tplc="62527C2A">
      <w:numFmt w:val="bullet"/>
      <w:lvlText w:val="•"/>
      <w:lvlJc w:val="left"/>
      <w:pPr>
        <w:ind w:left="720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42424"/>
        <w:spacing w:val="0"/>
        <w:w w:val="104"/>
        <w:sz w:val="20"/>
        <w:szCs w:val="20"/>
        <w:lang w:val="uk-UA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AC38FC"/>
    <w:multiLevelType w:val="hybridMultilevel"/>
    <w:tmpl w:val="BB622640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>
    <w:nsid w:val="24BE48BF"/>
    <w:multiLevelType w:val="hybridMultilevel"/>
    <w:tmpl w:val="0E10FDF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bCs w:val="0"/>
        <w:i w:val="0"/>
        <w:iCs w:val="0"/>
        <w:color w:val="242424"/>
        <w:spacing w:val="0"/>
        <w:w w:val="104"/>
        <w:sz w:val="20"/>
        <w:szCs w:val="20"/>
        <w:lang w:val="uk-UA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6D1DC2"/>
    <w:multiLevelType w:val="hybridMultilevel"/>
    <w:tmpl w:val="A970B6FA"/>
    <w:lvl w:ilvl="0" w:tplc="62527C2A">
      <w:numFmt w:val="bullet"/>
      <w:lvlText w:val="•"/>
      <w:lvlJc w:val="left"/>
      <w:pPr>
        <w:ind w:left="720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42424"/>
        <w:spacing w:val="0"/>
        <w:w w:val="104"/>
        <w:sz w:val="20"/>
        <w:szCs w:val="20"/>
        <w:lang w:val="uk-UA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E65A69"/>
    <w:multiLevelType w:val="hybridMultilevel"/>
    <w:tmpl w:val="86FE2E52"/>
    <w:lvl w:ilvl="0" w:tplc="62527C2A">
      <w:numFmt w:val="bullet"/>
      <w:lvlText w:val="•"/>
      <w:lvlJc w:val="left"/>
      <w:pPr>
        <w:ind w:left="114" w:hanging="125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42424"/>
        <w:spacing w:val="0"/>
        <w:w w:val="104"/>
        <w:sz w:val="20"/>
        <w:szCs w:val="20"/>
        <w:lang w:val="uk-UA" w:eastAsia="en-US" w:bidi="ar-SA"/>
      </w:rPr>
    </w:lvl>
    <w:lvl w:ilvl="1" w:tplc="E6DC29AE">
      <w:numFmt w:val="bullet"/>
      <w:lvlText w:val="•"/>
      <w:lvlJc w:val="left"/>
      <w:pPr>
        <w:ind w:left="1119" w:hanging="125"/>
      </w:pPr>
      <w:rPr>
        <w:rFonts w:hint="default"/>
        <w:lang w:val="uk-UA" w:eastAsia="en-US" w:bidi="ar-SA"/>
      </w:rPr>
    </w:lvl>
    <w:lvl w:ilvl="2" w:tplc="4C84D2AC">
      <w:numFmt w:val="bullet"/>
      <w:lvlText w:val="•"/>
      <w:lvlJc w:val="left"/>
      <w:pPr>
        <w:ind w:left="2118" w:hanging="125"/>
      </w:pPr>
      <w:rPr>
        <w:rFonts w:hint="default"/>
        <w:lang w:val="uk-UA" w:eastAsia="en-US" w:bidi="ar-SA"/>
      </w:rPr>
    </w:lvl>
    <w:lvl w:ilvl="3" w:tplc="C47EA198">
      <w:numFmt w:val="bullet"/>
      <w:lvlText w:val="•"/>
      <w:lvlJc w:val="left"/>
      <w:pPr>
        <w:ind w:left="3117" w:hanging="125"/>
      </w:pPr>
      <w:rPr>
        <w:rFonts w:hint="default"/>
        <w:lang w:val="uk-UA" w:eastAsia="en-US" w:bidi="ar-SA"/>
      </w:rPr>
    </w:lvl>
    <w:lvl w:ilvl="4" w:tplc="DD96509A">
      <w:numFmt w:val="bullet"/>
      <w:lvlText w:val="•"/>
      <w:lvlJc w:val="left"/>
      <w:pPr>
        <w:ind w:left="4116" w:hanging="125"/>
      </w:pPr>
      <w:rPr>
        <w:rFonts w:hint="default"/>
        <w:lang w:val="uk-UA" w:eastAsia="en-US" w:bidi="ar-SA"/>
      </w:rPr>
    </w:lvl>
    <w:lvl w:ilvl="5" w:tplc="8C9A8170">
      <w:numFmt w:val="bullet"/>
      <w:lvlText w:val="•"/>
      <w:lvlJc w:val="left"/>
      <w:pPr>
        <w:ind w:left="5115" w:hanging="125"/>
      </w:pPr>
      <w:rPr>
        <w:rFonts w:hint="default"/>
        <w:lang w:val="uk-UA" w:eastAsia="en-US" w:bidi="ar-SA"/>
      </w:rPr>
    </w:lvl>
    <w:lvl w:ilvl="6" w:tplc="0CFC773E">
      <w:numFmt w:val="bullet"/>
      <w:lvlText w:val="•"/>
      <w:lvlJc w:val="left"/>
      <w:pPr>
        <w:ind w:left="6114" w:hanging="125"/>
      </w:pPr>
      <w:rPr>
        <w:rFonts w:hint="default"/>
        <w:lang w:val="uk-UA" w:eastAsia="en-US" w:bidi="ar-SA"/>
      </w:rPr>
    </w:lvl>
    <w:lvl w:ilvl="7" w:tplc="09764D06">
      <w:numFmt w:val="bullet"/>
      <w:lvlText w:val="•"/>
      <w:lvlJc w:val="left"/>
      <w:pPr>
        <w:ind w:left="7113" w:hanging="125"/>
      </w:pPr>
      <w:rPr>
        <w:rFonts w:hint="default"/>
        <w:lang w:val="uk-UA" w:eastAsia="en-US" w:bidi="ar-SA"/>
      </w:rPr>
    </w:lvl>
    <w:lvl w:ilvl="8" w:tplc="73DC470C">
      <w:numFmt w:val="bullet"/>
      <w:lvlText w:val="•"/>
      <w:lvlJc w:val="left"/>
      <w:pPr>
        <w:ind w:left="8112" w:hanging="125"/>
      </w:pPr>
      <w:rPr>
        <w:rFonts w:hint="default"/>
        <w:lang w:val="uk-UA" w:eastAsia="en-US" w:bidi="ar-SA"/>
      </w:rPr>
    </w:lvl>
  </w:abstractNum>
  <w:abstractNum w:abstractNumId="8">
    <w:nsid w:val="482F6E96"/>
    <w:multiLevelType w:val="hybridMultilevel"/>
    <w:tmpl w:val="FFE491A2"/>
    <w:lvl w:ilvl="0" w:tplc="62527C2A">
      <w:numFmt w:val="bullet"/>
      <w:lvlText w:val="•"/>
      <w:lvlJc w:val="left"/>
      <w:pPr>
        <w:ind w:left="720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42424"/>
        <w:spacing w:val="0"/>
        <w:w w:val="104"/>
        <w:sz w:val="20"/>
        <w:szCs w:val="20"/>
        <w:lang w:val="uk-UA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3B16E4"/>
    <w:multiLevelType w:val="hybridMultilevel"/>
    <w:tmpl w:val="D7E4F70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bCs w:val="0"/>
        <w:i w:val="0"/>
        <w:iCs w:val="0"/>
        <w:color w:val="242424"/>
        <w:spacing w:val="0"/>
        <w:w w:val="104"/>
        <w:sz w:val="20"/>
        <w:szCs w:val="20"/>
        <w:lang w:val="uk-UA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9610B2"/>
    <w:multiLevelType w:val="hybridMultilevel"/>
    <w:tmpl w:val="4AC03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0"/>
  </w:num>
  <w:num w:numId="5">
    <w:abstractNumId w:val="1"/>
  </w:num>
  <w:num w:numId="6">
    <w:abstractNumId w:val="8"/>
  </w:num>
  <w:num w:numId="7">
    <w:abstractNumId w:val="9"/>
  </w:num>
  <w:num w:numId="8">
    <w:abstractNumId w:val="6"/>
  </w:num>
  <w:num w:numId="9">
    <w:abstractNumId w:val="5"/>
  </w:num>
  <w:num w:numId="10">
    <w:abstractNumId w:val="3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1754F"/>
    <w:rsid w:val="00042448"/>
    <w:rsid w:val="000B0A04"/>
    <w:rsid w:val="001663D4"/>
    <w:rsid w:val="0022379A"/>
    <w:rsid w:val="00280174"/>
    <w:rsid w:val="002B29E4"/>
    <w:rsid w:val="004F5592"/>
    <w:rsid w:val="00567D61"/>
    <w:rsid w:val="005E094B"/>
    <w:rsid w:val="006040D8"/>
    <w:rsid w:val="006469A0"/>
    <w:rsid w:val="006731E7"/>
    <w:rsid w:val="00730ED4"/>
    <w:rsid w:val="009B2E93"/>
    <w:rsid w:val="009F48A6"/>
    <w:rsid w:val="00A1754F"/>
    <w:rsid w:val="00A94DF7"/>
    <w:rsid w:val="00AF1584"/>
    <w:rsid w:val="00B76264"/>
    <w:rsid w:val="00CD30A0"/>
    <w:rsid w:val="00DD5797"/>
    <w:rsid w:val="00DD72DA"/>
    <w:rsid w:val="00E12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1754F"/>
    <w:rPr>
      <w:rFonts w:ascii="Microsoft Sans Serif" w:eastAsia="Microsoft Sans Serif" w:hAnsi="Microsoft Sans Serif" w:cs="Microsoft Sans Serif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A1754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1754F"/>
    <w:pPr>
      <w:ind w:left="433"/>
    </w:pPr>
    <w:rPr>
      <w:sz w:val="20"/>
      <w:szCs w:val="20"/>
    </w:rPr>
  </w:style>
  <w:style w:type="paragraph" w:customStyle="1" w:styleId="Heading11">
    <w:name w:val="Heading 11"/>
    <w:basedOn w:val="a"/>
    <w:uiPriority w:val="1"/>
    <w:qFormat/>
    <w:rsid w:val="00A1754F"/>
    <w:pPr>
      <w:spacing w:before="60"/>
      <w:ind w:left="148"/>
      <w:outlineLvl w:val="1"/>
    </w:pPr>
    <w:rPr>
      <w:rFonts w:ascii="Arial Black" w:eastAsia="Arial Black" w:hAnsi="Arial Black" w:cs="Arial Black"/>
    </w:rPr>
  </w:style>
  <w:style w:type="paragraph" w:styleId="a4">
    <w:name w:val="Title"/>
    <w:basedOn w:val="a"/>
    <w:uiPriority w:val="1"/>
    <w:qFormat/>
    <w:rsid w:val="00A1754F"/>
    <w:pPr>
      <w:spacing w:before="84"/>
      <w:ind w:left="207" w:right="233" w:firstLine="5"/>
      <w:jc w:val="center"/>
    </w:pPr>
    <w:rPr>
      <w:rFonts w:ascii="Arial Black" w:eastAsia="Arial Black" w:hAnsi="Arial Black" w:cs="Arial Black"/>
      <w:sz w:val="24"/>
      <w:szCs w:val="24"/>
    </w:rPr>
  </w:style>
  <w:style w:type="paragraph" w:styleId="a5">
    <w:name w:val="List Paragraph"/>
    <w:aliases w:val="List_Paragraph,Multilevel para_II,List Paragraph1,Akapit z listą BS,Bullet1,Main numbered paragraph,Numbered List Paragraph,List Paragraph11,List Paragraph (numbered (a)),Use Case List Paragraph,Bullets,Bullet Answer,IFCL - List Paragraph"/>
    <w:basedOn w:val="a"/>
    <w:link w:val="a6"/>
    <w:uiPriority w:val="34"/>
    <w:qFormat/>
    <w:rsid w:val="00A1754F"/>
    <w:pPr>
      <w:spacing w:before="48"/>
      <w:ind w:left="433" w:hanging="286"/>
    </w:pPr>
  </w:style>
  <w:style w:type="paragraph" w:customStyle="1" w:styleId="TableParagraph">
    <w:name w:val="Table Paragraph"/>
    <w:basedOn w:val="a"/>
    <w:uiPriority w:val="1"/>
    <w:qFormat/>
    <w:rsid w:val="00A1754F"/>
  </w:style>
  <w:style w:type="character" w:styleId="a7">
    <w:name w:val="Hyperlink"/>
    <w:basedOn w:val="a0"/>
    <w:uiPriority w:val="99"/>
    <w:unhideWhenUsed/>
    <w:rsid w:val="00CD30A0"/>
    <w:rPr>
      <w:color w:val="0000FF" w:themeColor="hyperlink"/>
      <w:u w:val="single"/>
    </w:rPr>
  </w:style>
  <w:style w:type="character" w:customStyle="1" w:styleId="a6">
    <w:name w:val="Абзац списка Знак"/>
    <w:aliases w:val="List_Paragraph Знак,Multilevel para_II Знак,List Paragraph1 Знак,Akapit z listą BS Знак,Bullet1 Знак,Main numbered paragraph Знак,Numbered List Paragraph Знак,List Paragraph11 Знак,List Paragraph (numbered (a)) Знак,Bullets Знак"/>
    <w:link w:val="a5"/>
    <w:uiPriority w:val="34"/>
    <w:qFormat/>
    <w:locked/>
    <w:rsid w:val="00567D61"/>
    <w:rPr>
      <w:rFonts w:ascii="Microsoft Sans Serif" w:eastAsia="Microsoft Sans Serif" w:hAnsi="Microsoft Sans Serif" w:cs="Microsoft Sans Serif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6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84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74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0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Yehrulenko@globusbank.com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Shulga@globusbank.com.u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Копил Наталія</dc:creator>
  <cp:lastModifiedBy>YeHrulenko</cp:lastModifiedBy>
  <cp:revision>4</cp:revision>
  <cp:lastPrinted>2025-08-28T09:43:00Z</cp:lastPrinted>
  <dcterms:created xsi:type="dcterms:W3CDTF">2025-08-28T09:43:00Z</dcterms:created>
  <dcterms:modified xsi:type="dcterms:W3CDTF">2026-03-13T10:51:00Z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Acrobat PDFMaker 24 для Word</vt:lpwstr>
  </property>
  <property fmtid="{D5CDD505-2E9C-101B-9397-08002B2CF9AE}" pid="4" name="LastSaved">
    <vt:filetime>2024-11-20T00:00:00Z</vt:filetime>
  </property>
  <property fmtid="{D5CDD505-2E9C-101B-9397-08002B2CF9AE}" pid="5" name="Producer">
    <vt:lpwstr>Adobe PDF Library 24.3.144</vt:lpwstr>
  </property>
  <property fmtid="{D5CDD505-2E9C-101B-9397-08002B2CF9AE}" pid="6" name="SourceModified">
    <vt:lpwstr>D:20240923081100</vt:lpwstr>
  </property>
</Properties>
</file>