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247" w:rsidRDefault="00647247" w:rsidP="00647247">
      <w:pPr>
        <w:spacing w:after="0" w:line="273" w:lineRule="auto"/>
        <w:ind w:left="4956"/>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-219075</wp:posOffset>
                </wp:positionH>
                <wp:positionV relativeFrom="paragraph">
                  <wp:posOffset>57150</wp:posOffset>
                </wp:positionV>
                <wp:extent cx="2514600" cy="975360"/>
                <wp:effectExtent l="0" t="0" r="19050" b="15240"/>
                <wp:wrapNone/>
                <wp:docPr id="4" name="Надпись 4"/>
                <wp:cNvGraphicFramePr/>
                <a:graphic xmlns:a="http://schemas.openxmlformats.org/drawingml/2006/main">
                  <a:graphicData uri="http://schemas.microsoft.com/office/word/2010/wordprocessingShape">
                    <wps:wsp>
                      <wps:cNvSpPr txBox="1"/>
                      <wps:spPr>
                        <a:xfrm>
                          <a:off x="0" y="0"/>
                          <a:ext cx="2514600" cy="975360"/>
                        </a:xfrm>
                        <a:prstGeom prst="rect">
                          <a:avLst/>
                        </a:prstGeom>
                        <a:solidFill>
                          <a:schemeClr val="lt1"/>
                        </a:solidFill>
                        <a:ln w="6350">
                          <a:solidFill>
                            <a:prstClr val="black"/>
                          </a:solidFill>
                        </a:ln>
                      </wps:spPr>
                      <wps:txbx>
                        <w:txbxContent>
                          <w:p w:rsidR="00647247" w:rsidRDefault="00647247" w:rsidP="00647247">
                            <w:r>
                              <w:rPr>
                                <w:rFonts w:asciiTheme="minorHAnsi" w:eastAsiaTheme="minorHAnsi" w:hAnsiTheme="minorHAnsi" w:cstheme="minorBidi"/>
                                <w:noProof/>
                                <w:sz w:val="20"/>
                                <w:szCs w:val="20"/>
                                <w:lang w:val="ru-RU" w:eastAsia="ru-RU"/>
                              </w:rPr>
                              <w:drawing>
                                <wp:inline distT="0" distB="0" distL="0" distR="0">
                                  <wp:extent cx="2324100" cy="800100"/>
                                  <wp:effectExtent l="0" t="0" r="0" b="0"/>
                                  <wp:docPr id="1" name="Рисунок 1" descr="cid:image001.png@01D3EDC5.2B9F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3EDC5.2B9F32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800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17.25pt;margin-top:4.5pt;width:198pt;height:7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" fillcolor="white [3201]" strokeweight=".5pt">
                <v:textbox>
                  <w:txbxContent>
                    <w:p w:rsidR="00647247" w:rsidRDefault="00647247" w:rsidP="00647247">
                      <w:r>
                        <w:rPr>
                          <w:rFonts w:asciiTheme="minorHAnsi" w:eastAsiaTheme="minorHAnsi" w:hAnsiTheme="minorHAnsi" w:cstheme="minorBidi"/>
                          <w:noProof/>
                          <w:sz w:val="20"/>
                          <w:szCs w:val="20"/>
                          <w:lang w:val="ru-RU" w:eastAsia="ru-RU"/>
                        </w:rPr>
                        <w:drawing>
                          <wp:inline distT="0" distB="0" distL="0" distR="0">
                            <wp:extent cx="2324100" cy="800100"/>
                            <wp:effectExtent l="0" t="0" r="0" b="0"/>
                            <wp:docPr id="1" name="Рисунок 1" descr="cid:image001.png@01D3EDC5.2B9F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3EDC5.2B9F32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800100"/>
                                    </a:xfrm>
                                    <a:prstGeom prst="rect">
                                      <a:avLst/>
                                    </a:prstGeom>
                                    <a:noFill/>
                                    <a:ln>
                                      <a:noFill/>
                                    </a:ln>
                                  </pic:spPr>
                                </pic:pic>
                              </a:graphicData>
                            </a:graphic>
                          </wp:inline>
                        </w:drawing>
                      </w:r>
                    </w:p>
                  </w:txbxContent>
                </v:textbox>
              </v:shape>
            </w:pict>
          </mc:Fallback>
        </mc:AlternateContent>
      </w:r>
      <w:r>
        <w:rPr>
          <w:rFonts w:ascii="Times New Roman" w:eastAsia="Times New Roman" w:hAnsi="Times New Roman" w:cs="Times New Roman"/>
          <w:color w:val="000000"/>
          <w:sz w:val="24"/>
          <w:szCs w:val="24"/>
        </w:rPr>
        <w:t>Extract from the Rules of the</w:t>
      </w:r>
    </w:p>
    <w:p w:rsidR="00647247" w:rsidRDefault="00647247" w:rsidP="00647247">
      <w:pPr>
        <w:spacing w:after="0" w:line="273"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“Globus” International Payment System,</w:t>
      </w:r>
    </w:p>
    <w:p w:rsidR="00647247" w:rsidRDefault="00647247" w:rsidP="00647247">
      <w:pPr>
        <w:spacing w:after="0" w:line="273"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approved by the minutes of the meeting</w:t>
      </w:r>
    </w:p>
    <w:p w:rsidR="00647247" w:rsidRDefault="00647247" w:rsidP="00647247">
      <w:pPr>
        <w:spacing w:after="0" w:line="273" w:lineRule="auto"/>
        <w:ind w:left="4956"/>
        <w:rPr>
          <w:rFonts w:ascii="Times New Roman" w:eastAsia="Times New Roman" w:hAnsi="Times New Roman" w:cs="Times New Roman"/>
          <w:color w:val="000000"/>
          <w:sz w:val="24"/>
          <w:szCs w:val="24"/>
        </w:rPr>
      </w:pPr>
      <w:bookmarkStart w:id="0" w:name="_Hlk226109942"/>
      <w:bookmarkEnd w:id="0"/>
      <w:r>
        <w:rPr>
          <w:rFonts w:ascii="Times New Roman" w:eastAsia="Times New Roman" w:hAnsi="Times New Roman" w:cs="Times New Roman"/>
          <w:color w:val="000000"/>
          <w:sz w:val="24"/>
          <w:szCs w:val="24"/>
        </w:rPr>
        <w:t>of the Management Board</w:t>
      </w:r>
    </w:p>
    <w:p w:rsidR="00647247" w:rsidRDefault="00647247" w:rsidP="00647247">
      <w:pPr>
        <w:spacing w:after="0" w:line="273"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 JSC “CB “GLOBUS”</w:t>
      </w:r>
    </w:p>
    <w:p w:rsidR="00647247" w:rsidRDefault="00647247" w:rsidP="00647247">
      <w:pPr>
        <w:spacing w:after="0" w:line="273"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 17 November 2025</w:t>
      </w:r>
    </w:p>
    <w:p w:rsidR="00647247" w:rsidRDefault="00647247" w:rsidP="00647247">
      <w:pPr>
        <w:widowControl w:val="0"/>
        <w:spacing w:after="0"/>
        <w:ind w:left="5103"/>
        <w:rPr>
          <w:rFonts w:ascii="Times New Roman" w:hAnsi="Times New Roman" w:cs="Times New Roman"/>
          <w:sz w:val="24"/>
          <w:szCs w:val="24"/>
        </w:rPr>
      </w:pPr>
    </w:p>
    <w:p w:rsidR="00E010FE" w:rsidRPr="00E010FE" w:rsidRDefault="00E010FE" w:rsidP="00E010FE">
      <w:pPr>
        <w:widowControl w:val="0"/>
        <w:pBdr>
          <w:top w:val="nil"/>
          <w:left w:val="nil"/>
          <w:bottom w:val="nil"/>
          <w:right w:val="nil"/>
          <w:between w:val="nil"/>
        </w:pBdr>
        <w:spacing w:after="0"/>
        <w:ind w:left="5103"/>
        <w:rPr>
          <w:rFonts w:ascii="Times New Roman" w:hAnsi="Times New Roman" w:cs="Times New Roman"/>
          <w:sz w:val="24"/>
          <w:szCs w:val="24"/>
        </w:rPr>
      </w:pPr>
    </w:p>
    <w:p w:rsidR="00343A66" w:rsidRPr="00343A66" w:rsidRDefault="00343A66" w:rsidP="00343A66">
      <w:pPr>
        <w:pBdr>
          <w:top w:val="nil"/>
          <w:left w:val="nil"/>
          <w:bottom w:val="nil"/>
          <w:right w:val="nil"/>
          <w:between w:val="nil"/>
        </w:pBdr>
        <w:spacing w:after="240" w:line="275" w:lineRule="auto"/>
        <w:jc w:val="center"/>
        <w:rPr>
          <w:rFonts w:ascii="Times New Roman" w:eastAsia="Google Sans" w:hAnsi="Times New Roman" w:cs="Times New Roman"/>
          <w:b/>
          <w:bCs/>
          <w:color w:val="1F1F1F"/>
          <w:sz w:val="28"/>
          <w:szCs w:val="28"/>
        </w:rPr>
      </w:pPr>
      <w:r w:rsidRPr="00343A66">
        <w:rPr>
          <w:rFonts w:ascii="Times New Roman" w:eastAsia="Google Sans" w:hAnsi="Times New Roman" w:cs="Times New Roman"/>
          <w:b/>
          <w:bCs/>
          <w:color w:val="1F1F1F"/>
          <w:sz w:val="28"/>
          <w:szCs w:val="28"/>
        </w:rPr>
        <w:t>Terms and criteria for participation in the payment system</w:t>
      </w:r>
    </w:p>
    <w:p w:rsidR="00343A66" w:rsidRPr="00343A66" w:rsidRDefault="00343A66" w:rsidP="00343A66">
      <w:pPr>
        <w:pBdr>
          <w:top w:val="nil"/>
          <w:left w:val="nil"/>
          <w:bottom w:val="nil"/>
          <w:right w:val="nil"/>
          <w:between w:val="nil"/>
        </w:pBdr>
        <w:spacing w:after="240"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36. Terms of participation in the Payment System.</w:t>
      </w:r>
    </w:p>
    <w:p w:rsidR="00343A66" w:rsidRPr="00343A66" w:rsidRDefault="00343A66" w:rsidP="00343A66">
      <w:pPr>
        <w:pStyle w:val="a3"/>
        <w:numPr>
          <w:ilvl w:val="0"/>
          <w:numId w:val="6"/>
        </w:numPr>
        <w:pBdr>
          <w:top w:val="nil"/>
          <w:left w:val="nil"/>
          <w:bottom w:val="nil"/>
          <w:right w:val="nil"/>
          <w:between w:val="nil"/>
        </w:pBdr>
        <w:spacing w:after="240"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To participate in the Payment System, Direct and Indirect participants must meet all the requirements and criteria established by the legislation of Ukraine and defined by these Rules.</w:t>
      </w:r>
    </w:p>
    <w:p w:rsidR="00343A66" w:rsidRPr="00343A66" w:rsidRDefault="00343A66" w:rsidP="00343A66">
      <w:pPr>
        <w:pStyle w:val="a3"/>
        <w:numPr>
          <w:ilvl w:val="0"/>
          <w:numId w:val="6"/>
        </w:numPr>
        <w:pBdr>
          <w:top w:val="nil"/>
          <w:left w:val="nil"/>
          <w:bottom w:val="nil"/>
          <w:right w:val="nil"/>
          <w:between w:val="nil"/>
        </w:pBdr>
        <w:spacing w:after="240"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To participate in the Payment System, Direct and Indirect Participants (non-residents) must possess a document (license, permit, etc.) issued in accordance with the legislation of the country where the Participant is registered, on the basis of which such Participant has the right to carry out activities in the field of international payment systems.</w:t>
      </w:r>
    </w:p>
    <w:p w:rsidR="00343A66" w:rsidRPr="00343A66" w:rsidRDefault="00343A66" w:rsidP="00343A66">
      <w:pPr>
        <w:pStyle w:val="a3"/>
        <w:numPr>
          <w:ilvl w:val="0"/>
          <w:numId w:val="6"/>
        </w:numPr>
        <w:pBdr>
          <w:top w:val="nil"/>
          <w:left w:val="nil"/>
          <w:bottom w:val="nil"/>
          <w:right w:val="nil"/>
          <w:between w:val="nil"/>
        </w:pBdr>
        <w:spacing w:after="240"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To participate in the Payment System, Direct and Indirect participants must be entered into the payment infrastructure register of the National Bank of Ukraine.</w:t>
      </w:r>
    </w:p>
    <w:p w:rsidR="00343A66" w:rsidRPr="00343A66" w:rsidRDefault="00343A66" w:rsidP="00343A66">
      <w:pPr>
        <w:pStyle w:val="a3"/>
        <w:numPr>
          <w:ilvl w:val="0"/>
          <w:numId w:val="6"/>
        </w:numPr>
        <w:pBdr>
          <w:top w:val="nil"/>
          <w:left w:val="nil"/>
          <w:bottom w:val="nil"/>
          <w:right w:val="nil"/>
          <w:between w:val="nil"/>
        </w:pBdr>
        <w:spacing w:after="240"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Criteria that Direct and Indirect Participants must meet for the purpose of participation in the Payment System (Table 1):</w:t>
      </w:r>
    </w:p>
    <w:p w:rsidR="00343A66" w:rsidRPr="00343A66" w:rsidRDefault="00343A66" w:rsidP="00343A66">
      <w:pPr>
        <w:pBdr>
          <w:top w:val="nil"/>
          <w:left w:val="nil"/>
          <w:bottom w:val="nil"/>
          <w:right w:val="nil"/>
          <w:between w:val="nil"/>
        </w:pBdr>
        <w:spacing w:after="240" w:line="275" w:lineRule="auto"/>
        <w:jc w:val="right"/>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Table 1</w:t>
      </w:r>
    </w:p>
    <w:p w:rsidR="00343A66" w:rsidRPr="00343A66" w:rsidRDefault="00343A66" w:rsidP="00343A66">
      <w:pPr>
        <w:pBdr>
          <w:top w:val="nil"/>
          <w:left w:val="nil"/>
          <w:bottom w:val="nil"/>
          <w:right w:val="nil"/>
          <w:between w:val="nil"/>
        </w:pBdr>
        <w:spacing w:after="240" w:line="275" w:lineRule="auto"/>
        <w:jc w:val="center"/>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Compliance criteria for Direct and Indirect participants of the International Payment System "GLOBUS"</w:t>
      </w:r>
    </w:p>
    <w:tbl>
      <w:tblPr>
        <w:tblW w:w="951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9"/>
        <w:gridCol w:w="2410"/>
        <w:gridCol w:w="3402"/>
        <w:gridCol w:w="2989"/>
      </w:tblGrid>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before="120" w:after="120"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No.</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before="120" w:after="120"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Criteria</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before="120" w:after="120"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Name of the document provided to confirm compliance with the criteria (Residents)</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before="120" w:after="120"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Name of the document provided to confirm compliance with the criteria (Non-residents)</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I.</w:t>
            </w:r>
          </w:p>
        </w:tc>
        <w:tc>
          <w:tcPr>
            <w:tcW w:w="8801" w:type="dxa"/>
            <w:gridSpan w:val="3"/>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Legal:</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Constituent and registration documents</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Extract from the Unified State Register of Legal Entities, Individual Entrepreneurs and Public Organizations regarding the business entity;</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xml:space="preserve">- Copy of the charter / copy of the decision (minutes) for the model charter (The Operator </w:t>
            </w:r>
            <w:r w:rsidRPr="00343A66">
              <w:rPr>
                <w:rFonts w:ascii="Times New Roman" w:eastAsia="Google Sans" w:hAnsi="Times New Roman" w:cs="Times New Roman"/>
                <w:color w:val="1F1F1F"/>
                <w:sz w:val="24"/>
                <w:szCs w:val="24"/>
              </w:rPr>
              <w:lastRenderedPageBreak/>
              <w:t>obtains the constituent documents of the legal entity (except for the model charter) by searching for them using the access code provided by the representative of the legal entity, and stores the information about the business entity obtained from the Unified State Register);</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Copy of the minutes / decision / order on the appointment of the head of the legal entity;</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Copy of the Value Added Tax Payer Registration Certificate;</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Copy of the annual report for the previous year (or for the previous reporting period);</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Customer questionnaire of JSC "CB "GLOBUS";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Identification data of persons who have the right to manage accounts and/or property, data allowing to establish the ultimate beneficial owners (controllers);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xml:space="preserve">- Owner - a person who directly and/or indirectly, solely or jointly with other persons owns shares or stakes in a legal entity, or voting rights on shares (stakes) in the authorized capital of a legal entity, or regardless of formal ownership has the ability to exert significant influence on the management or activities of the legal entity. An owner is also the ultimate beneficial </w:t>
            </w:r>
            <w:r w:rsidRPr="00343A66">
              <w:rPr>
                <w:rFonts w:ascii="Times New Roman" w:eastAsia="Google Sans" w:hAnsi="Times New Roman" w:cs="Times New Roman"/>
                <w:color w:val="1F1F1F"/>
                <w:sz w:val="24"/>
                <w:szCs w:val="24"/>
              </w:rPr>
              <w:lastRenderedPageBreak/>
              <w:t>owner; (NBU Resolution No. 208 dated 26.08.2022)</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 Copy of a legalized or apostilled extract from a trade, banking or court register or a registration certificate from a local authority of a foreign state on the registration of a legal entity, notarized;</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 Details of the bank where the account is opened, bank account number;</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Information about management bodies;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Copy of a legalized or apostilled power of attorney in the name of a representative with corresponding powers, notarized. If a foreign investor issues such a power of attorney on the territory of Ukraine, a notarized copy of this power of attorney is submitted;</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Identification data of persons who have the right to manage accounts and/or property, data allowing to establish the ultimate beneficial owners (controllers);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Owner - a person who directly and/or indirectly, solely or jointly with other persons owns shares or stakes in a legal entity, or voting rights on shares (stakes) in the authorized capital of a legal entity, or regardless of formal ownership has the ability to exert significant influence on the management or activities of the legal entity. An owner is also the ultimate beneficial owner; (NBU Resolution No. 208 dated 26.08.2022)</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 Licenses, permits, etc., for carrying out activities in the field of international transfers;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Copy of the annual report for the previous year (or for the previous reporting period);</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Questionnaire</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2.</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Availability of legal authority to operate in the Payment System</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Banking license (for banks);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License of the National Bank of Ukraine to provide financial payment services (for non-bank payment service providers);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License of the National Bank of Ukraine to conduct currency operations.</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Licenses, permits, etc., for carrying out activities in the field of international transfers.</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3.</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Compliance with anti-money laundering and terrorist financing requirements established by FATF</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Customer Questionnaire of JSC "CB "GLOBUS";</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Appendix to the Program of identification, verification and due diligence of clients of JSC "CB "GLOBUS" for a financial institution (may be specified in a document drawn up in an arbitrary form by a potential Participant).</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Questionnaire;</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Appendix to the Program of identification, verification and due diligence of clients of JSC "CB "GLOBUS" for a financial institution (may be specified in a document drawn up in an arbitrary form by a potential Participant).</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II.</w:t>
            </w:r>
          </w:p>
        </w:tc>
        <w:tc>
          <w:tcPr>
            <w:tcW w:w="8801" w:type="dxa"/>
            <w:gridSpan w:val="3"/>
            <w:tcBorders>
              <w:top w:val="single" w:sz="6" w:space="0" w:color="000000"/>
              <w:left w:val="single" w:sz="6" w:space="0" w:color="000000"/>
              <w:bottom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Financial:</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4.</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Financial stability</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 xml:space="preserve">Copy of the annual report for the previous year, and for newly established institutions conducting business activities </w:t>
            </w:r>
            <w:r w:rsidRPr="00343A66">
              <w:rPr>
                <w:rFonts w:ascii="Times New Roman" w:eastAsia="Google Sans" w:hAnsi="Times New Roman" w:cs="Times New Roman"/>
                <w:color w:val="1F1F1F"/>
                <w:sz w:val="24"/>
                <w:szCs w:val="24"/>
              </w:rPr>
              <w:lastRenderedPageBreak/>
              <w:t>for up to 1 year, for the previous reporting period;</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Results of an audit for the previous year (if available).</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 xml:space="preserve">Copy of the annual report for the previous year, and for newly established institutions conducting business activities for up to </w:t>
            </w:r>
            <w:r w:rsidRPr="00343A66">
              <w:rPr>
                <w:rFonts w:ascii="Times New Roman" w:eastAsia="Google Sans" w:hAnsi="Times New Roman" w:cs="Times New Roman"/>
                <w:color w:val="1F1F1F"/>
                <w:sz w:val="24"/>
                <w:szCs w:val="24"/>
              </w:rPr>
              <w:lastRenderedPageBreak/>
              <w:t>1 year, for the previous reporting period;</w:t>
            </w:r>
          </w:p>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Results of an audit for the previous year (if available).</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5.</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Absence of overdue budget payments in accordance with the legislation of their country of residence</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6.</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Absence of lawsuits and/or court decisions in the amount of obligations equal to or more than 5% of its net assets</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Customer Questionnaire of JSC "CB "GLOBUS".</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Questionnaire.</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III.</w:t>
            </w:r>
          </w:p>
        </w:tc>
        <w:tc>
          <w:tcPr>
            <w:tcW w:w="8801" w:type="dxa"/>
            <w:gridSpan w:val="3"/>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Technical:</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7.</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Compliance of existing technical equipment with the technological requirements for operating in the Payment System established by the Operator</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8.</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Availability of an information technology risk management system, including backup equipment necessary for uninterrupted transfer dispatch in case of force majeure</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9.</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Availability of antivirus protection on workstations and servers</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10.</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Availability of regulations for the use of cryptographic information protection tools</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r>
      <w:tr w:rsidR="00343A66" w:rsidRPr="00343A66" w:rsidTr="0099563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IV.</w:t>
            </w:r>
          </w:p>
        </w:tc>
        <w:tc>
          <w:tcPr>
            <w:tcW w:w="8801" w:type="dxa"/>
            <w:gridSpan w:val="3"/>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b/>
                <w:bCs/>
                <w:color w:val="1F1F1F"/>
                <w:sz w:val="24"/>
                <w:szCs w:val="24"/>
              </w:rPr>
            </w:pPr>
            <w:r w:rsidRPr="00343A66">
              <w:rPr>
                <w:rFonts w:ascii="Times New Roman" w:eastAsia="Google Sans" w:hAnsi="Times New Roman" w:cs="Times New Roman"/>
                <w:b/>
                <w:bCs/>
                <w:color w:val="1F1F1F"/>
                <w:sz w:val="24"/>
                <w:szCs w:val="24"/>
              </w:rPr>
              <w:t>General:</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11.</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Availability of a special structural unit or an authorized person in the structure of the potential Participant to interact with the Operator</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12.</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Availability of accounts in the currency/currencies of transfer execution to settle transactions carried out in the Payment System, according to the requirements of the country of residence and the Rules of the Payment System</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Customer Questionnaire of JSC "CB "GLOBUS".</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Questionnaire.</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13.</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Compliance with bank secrecy standards and personal data protection in accordance with these Rules</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Information is specified in the application for joining the Payment System.</w:t>
            </w:r>
          </w:p>
        </w:tc>
      </w:tr>
      <w:tr w:rsidR="00343A66" w:rsidRPr="00343A66" w:rsidTr="00343A66">
        <w:tc>
          <w:tcPr>
            <w:tcW w:w="70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lastRenderedPageBreak/>
              <w:t>14.</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Registration of participation in the Payment System</w:t>
            </w:r>
          </w:p>
        </w:tc>
        <w:tc>
          <w:tcPr>
            <w:tcW w:w="340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To participate in the Payment System, Participants must be entered into the payment infrastructure register of the National Bank of Ukraine.</w:t>
            </w:r>
          </w:p>
        </w:tc>
        <w:tc>
          <w:tcPr>
            <w:tcW w:w="2989"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rsidR="00343A66" w:rsidRPr="00343A66" w:rsidRDefault="00343A66" w:rsidP="00422B3C">
            <w:pPr>
              <w:pBdr>
                <w:top w:val="nil"/>
                <w:left w:val="nil"/>
                <w:bottom w:val="nil"/>
                <w:right w:val="nil"/>
                <w:between w:val="nil"/>
              </w:pBdr>
              <w:spacing w:line="275" w:lineRule="auto"/>
              <w:rPr>
                <w:rFonts w:ascii="Times New Roman" w:eastAsia="Google Sans" w:hAnsi="Times New Roman" w:cs="Times New Roman"/>
                <w:color w:val="1F1F1F"/>
                <w:sz w:val="24"/>
                <w:szCs w:val="24"/>
              </w:rPr>
            </w:pPr>
            <w:r w:rsidRPr="00343A66">
              <w:rPr>
                <w:rFonts w:ascii="Times New Roman" w:eastAsia="Google Sans" w:hAnsi="Times New Roman" w:cs="Times New Roman"/>
                <w:color w:val="1F1F1F"/>
                <w:sz w:val="24"/>
                <w:szCs w:val="24"/>
              </w:rPr>
              <w:t>To participate in the Payment System, Participants must be entered into the payment infrastructure register of the National Bank of Ukraine.</w:t>
            </w:r>
          </w:p>
        </w:tc>
      </w:tr>
    </w:tbl>
    <w:p w:rsidR="00343A66" w:rsidRPr="00343A66" w:rsidRDefault="00343A66" w:rsidP="00343A66">
      <w:pPr>
        <w:pBdr>
          <w:top w:val="nil"/>
          <w:left w:val="nil"/>
          <w:bottom w:val="nil"/>
          <w:right w:val="nil"/>
          <w:between w:val="nil"/>
        </w:pBdr>
        <w:spacing w:line="276" w:lineRule="auto"/>
        <w:rPr>
          <w:rFonts w:ascii="Times New Roman" w:eastAsia="Google Sans" w:hAnsi="Times New Roman" w:cs="Times New Roman"/>
          <w:color w:val="1F1F1F"/>
          <w:sz w:val="24"/>
          <w:szCs w:val="24"/>
        </w:rPr>
      </w:pPr>
      <w:bookmarkStart w:id="1" w:name="_GoBack"/>
      <w:bookmarkEnd w:id="1"/>
    </w:p>
    <w:sectPr w:rsidR="00343A66" w:rsidRPr="00343A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oogle Sans">
    <w:altName w:val="Calibri"/>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61EED"/>
    <w:multiLevelType w:val="multilevel"/>
    <w:tmpl w:val="4202B7CE"/>
    <w:lvl w:ilvl="0">
      <w:start w:val="1"/>
      <w:numFmt w:val="decimal"/>
      <w:lvlText w:val="%1."/>
      <w:lvlJc w:val="left"/>
      <w:pPr>
        <w:ind w:left="1429" w:hanging="360"/>
      </w:pPr>
      <w:rPr>
        <w:vertAlign w:val="baseline"/>
      </w:rPr>
    </w:lvl>
    <w:lvl w:ilvl="1">
      <w:start w:val="1"/>
      <w:numFmt w:val="decimal"/>
      <w:lvlText w:val="%2."/>
      <w:lvlJc w:val="left"/>
      <w:pPr>
        <w:ind w:left="3054" w:hanging="360"/>
      </w:pPr>
      <w:rPr>
        <w:color w:val="000000"/>
        <w:shd w:val="clear" w:color="auto" w:fill="auto"/>
        <w:vertAlign w:val="baseline"/>
      </w:rPr>
    </w:lvl>
    <w:lvl w:ilvl="2">
      <w:start w:val="1"/>
      <w:numFmt w:val="decimal"/>
      <w:lvlText w:val="%3)"/>
      <w:lvlJc w:val="left"/>
      <w:pPr>
        <w:ind w:left="3049" w:hanging="36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1" w15:restartNumberingAfterBreak="0">
    <w:nsid w:val="2D90276C"/>
    <w:multiLevelType w:val="multilevel"/>
    <w:tmpl w:val="1890C0E4"/>
    <w:lvl w:ilvl="0">
      <w:start w:val="1"/>
      <w:numFmt w:val="decimal"/>
      <w:lvlText w:val="%1)"/>
      <w:lvlJc w:val="left"/>
      <w:pPr>
        <w:ind w:left="1713" w:hanging="360"/>
      </w:pPr>
      <w:rPr>
        <w:vertAlign w:val="baseline"/>
      </w:rPr>
    </w:lvl>
    <w:lvl w:ilvl="1">
      <w:start w:val="1"/>
      <w:numFmt w:val="lowerLetter"/>
      <w:lvlText w:val="%2."/>
      <w:lvlJc w:val="left"/>
      <w:pPr>
        <w:ind w:left="2433" w:hanging="360"/>
      </w:pPr>
      <w:rPr>
        <w:vertAlign w:val="baseline"/>
      </w:rPr>
    </w:lvl>
    <w:lvl w:ilvl="2">
      <w:start w:val="1"/>
      <w:numFmt w:val="lowerRoman"/>
      <w:lvlText w:val="%3."/>
      <w:lvlJc w:val="right"/>
      <w:pPr>
        <w:ind w:left="3153" w:hanging="180"/>
      </w:pPr>
      <w:rPr>
        <w:vertAlign w:val="baseline"/>
      </w:rPr>
    </w:lvl>
    <w:lvl w:ilvl="3">
      <w:start w:val="1"/>
      <w:numFmt w:val="decimal"/>
      <w:lvlText w:val="%4."/>
      <w:lvlJc w:val="left"/>
      <w:pPr>
        <w:ind w:left="3873" w:hanging="360"/>
      </w:pPr>
      <w:rPr>
        <w:vertAlign w:val="baseline"/>
      </w:rPr>
    </w:lvl>
    <w:lvl w:ilvl="4">
      <w:start w:val="1"/>
      <w:numFmt w:val="lowerLetter"/>
      <w:lvlText w:val="%5."/>
      <w:lvlJc w:val="left"/>
      <w:pPr>
        <w:ind w:left="4593" w:hanging="360"/>
      </w:pPr>
      <w:rPr>
        <w:vertAlign w:val="baseline"/>
      </w:rPr>
    </w:lvl>
    <w:lvl w:ilvl="5">
      <w:start w:val="1"/>
      <w:numFmt w:val="lowerRoman"/>
      <w:lvlText w:val="%6."/>
      <w:lvlJc w:val="right"/>
      <w:pPr>
        <w:ind w:left="5313" w:hanging="180"/>
      </w:pPr>
      <w:rPr>
        <w:vertAlign w:val="baseline"/>
      </w:rPr>
    </w:lvl>
    <w:lvl w:ilvl="6">
      <w:start w:val="1"/>
      <w:numFmt w:val="decimal"/>
      <w:lvlText w:val="%7."/>
      <w:lvlJc w:val="left"/>
      <w:pPr>
        <w:ind w:left="6033" w:hanging="360"/>
      </w:pPr>
      <w:rPr>
        <w:vertAlign w:val="baseline"/>
      </w:rPr>
    </w:lvl>
    <w:lvl w:ilvl="7">
      <w:start w:val="1"/>
      <w:numFmt w:val="lowerLetter"/>
      <w:lvlText w:val="%8."/>
      <w:lvlJc w:val="left"/>
      <w:pPr>
        <w:ind w:left="6753" w:hanging="360"/>
      </w:pPr>
      <w:rPr>
        <w:vertAlign w:val="baseline"/>
      </w:rPr>
    </w:lvl>
    <w:lvl w:ilvl="8">
      <w:start w:val="1"/>
      <w:numFmt w:val="lowerRoman"/>
      <w:lvlText w:val="%9."/>
      <w:lvlJc w:val="right"/>
      <w:pPr>
        <w:ind w:left="7473" w:hanging="180"/>
      </w:pPr>
      <w:rPr>
        <w:vertAlign w:val="baseline"/>
      </w:rPr>
    </w:lvl>
  </w:abstractNum>
  <w:abstractNum w:abstractNumId="2" w15:restartNumberingAfterBreak="0">
    <w:nsid w:val="301B28A9"/>
    <w:multiLevelType w:val="hybridMultilevel"/>
    <w:tmpl w:val="106AEE9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5746B47"/>
    <w:multiLevelType w:val="hybridMultilevel"/>
    <w:tmpl w:val="633EBECE"/>
    <w:lvl w:ilvl="0" w:tplc="524A6A7A">
      <w:start w:val="16"/>
      <w:numFmt w:val="decimal"/>
      <w:lvlText w:val="%1."/>
      <w:lvlJc w:val="left"/>
      <w:pPr>
        <w:ind w:left="3054" w:hanging="360"/>
      </w:pPr>
      <w:rPr>
        <w:rFonts w:hint="default"/>
        <w:color w:val="000000"/>
      </w:rPr>
    </w:lvl>
    <w:lvl w:ilvl="1" w:tplc="04220019" w:tentative="1">
      <w:start w:val="1"/>
      <w:numFmt w:val="lowerLetter"/>
      <w:lvlText w:val="%2."/>
      <w:lvlJc w:val="left"/>
      <w:pPr>
        <w:ind w:left="3774" w:hanging="360"/>
      </w:pPr>
    </w:lvl>
    <w:lvl w:ilvl="2" w:tplc="0422001B" w:tentative="1">
      <w:start w:val="1"/>
      <w:numFmt w:val="lowerRoman"/>
      <w:lvlText w:val="%3."/>
      <w:lvlJc w:val="right"/>
      <w:pPr>
        <w:ind w:left="4494" w:hanging="180"/>
      </w:pPr>
    </w:lvl>
    <w:lvl w:ilvl="3" w:tplc="0422000F" w:tentative="1">
      <w:start w:val="1"/>
      <w:numFmt w:val="decimal"/>
      <w:lvlText w:val="%4."/>
      <w:lvlJc w:val="left"/>
      <w:pPr>
        <w:ind w:left="5214" w:hanging="360"/>
      </w:pPr>
    </w:lvl>
    <w:lvl w:ilvl="4" w:tplc="04220019" w:tentative="1">
      <w:start w:val="1"/>
      <w:numFmt w:val="lowerLetter"/>
      <w:lvlText w:val="%5."/>
      <w:lvlJc w:val="left"/>
      <w:pPr>
        <w:ind w:left="5934" w:hanging="360"/>
      </w:pPr>
    </w:lvl>
    <w:lvl w:ilvl="5" w:tplc="0422001B" w:tentative="1">
      <w:start w:val="1"/>
      <w:numFmt w:val="lowerRoman"/>
      <w:lvlText w:val="%6."/>
      <w:lvlJc w:val="right"/>
      <w:pPr>
        <w:ind w:left="6654" w:hanging="180"/>
      </w:pPr>
    </w:lvl>
    <w:lvl w:ilvl="6" w:tplc="0422000F" w:tentative="1">
      <w:start w:val="1"/>
      <w:numFmt w:val="decimal"/>
      <w:lvlText w:val="%7."/>
      <w:lvlJc w:val="left"/>
      <w:pPr>
        <w:ind w:left="7374" w:hanging="360"/>
      </w:pPr>
    </w:lvl>
    <w:lvl w:ilvl="7" w:tplc="04220019" w:tentative="1">
      <w:start w:val="1"/>
      <w:numFmt w:val="lowerLetter"/>
      <w:lvlText w:val="%8."/>
      <w:lvlJc w:val="left"/>
      <w:pPr>
        <w:ind w:left="8094" w:hanging="360"/>
      </w:pPr>
    </w:lvl>
    <w:lvl w:ilvl="8" w:tplc="0422001B" w:tentative="1">
      <w:start w:val="1"/>
      <w:numFmt w:val="lowerRoman"/>
      <w:lvlText w:val="%9."/>
      <w:lvlJc w:val="right"/>
      <w:pPr>
        <w:ind w:left="8814" w:hanging="180"/>
      </w:pPr>
    </w:lvl>
  </w:abstractNum>
  <w:abstractNum w:abstractNumId="4" w15:restartNumberingAfterBreak="0">
    <w:nsid w:val="53EF4150"/>
    <w:multiLevelType w:val="multilevel"/>
    <w:tmpl w:val="D3DAC9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89863E9"/>
    <w:multiLevelType w:val="multilevel"/>
    <w:tmpl w:val="356A7482"/>
    <w:lvl w:ilvl="0">
      <w:start w:val="3"/>
      <w:numFmt w:val="bullet"/>
      <w:pStyle w:val="2"/>
      <w:lvlText w:val="-"/>
      <w:lvlJc w:val="left"/>
      <w:pPr>
        <w:ind w:left="502" w:hanging="360"/>
      </w:pPr>
      <w:rPr>
        <w:rFonts w:ascii="Times New Roman" w:eastAsia="Times New Roman" w:hAnsi="Times New Roman" w:cs="Times New Roman"/>
        <w:i w:val="0"/>
        <w:vertAlign w:val="baseline"/>
      </w:rPr>
    </w:lvl>
    <w:lvl w:ilvl="1">
      <w:start w:val="1"/>
      <w:numFmt w:val="bullet"/>
      <w:lvlText w:val="o"/>
      <w:lvlJc w:val="left"/>
      <w:pPr>
        <w:ind w:left="1605" w:hanging="360"/>
      </w:pPr>
      <w:rPr>
        <w:rFonts w:ascii="Courier New" w:eastAsia="Courier New" w:hAnsi="Courier New" w:cs="Courier New"/>
        <w:vertAlign w:val="baseline"/>
      </w:rPr>
    </w:lvl>
    <w:lvl w:ilvl="2">
      <w:start w:val="1"/>
      <w:numFmt w:val="bullet"/>
      <w:lvlText w:val="▪"/>
      <w:lvlJc w:val="left"/>
      <w:pPr>
        <w:ind w:left="2325" w:hanging="360"/>
      </w:pPr>
      <w:rPr>
        <w:rFonts w:ascii="Noto Sans Symbols" w:eastAsia="Noto Sans Symbols" w:hAnsi="Noto Sans Symbols" w:cs="Noto Sans Symbols"/>
        <w:vertAlign w:val="baseline"/>
      </w:rPr>
    </w:lvl>
    <w:lvl w:ilvl="3">
      <w:start w:val="1"/>
      <w:numFmt w:val="bullet"/>
      <w:lvlText w:val="●"/>
      <w:lvlJc w:val="left"/>
      <w:pPr>
        <w:ind w:left="3045" w:hanging="360"/>
      </w:pPr>
      <w:rPr>
        <w:rFonts w:ascii="Noto Sans Symbols" w:eastAsia="Noto Sans Symbols" w:hAnsi="Noto Sans Symbols" w:cs="Noto Sans Symbols"/>
        <w:vertAlign w:val="baseline"/>
      </w:rPr>
    </w:lvl>
    <w:lvl w:ilvl="4">
      <w:start w:val="1"/>
      <w:numFmt w:val="bullet"/>
      <w:lvlText w:val="o"/>
      <w:lvlJc w:val="left"/>
      <w:pPr>
        <w:ind w:left="3765" w:hanging="360"/>
      </w:pPr>
      <w:rPr>
        <w:rFonts w:ascii="Courier New" w:eastAsia="Courier New" w:hAnsi="Courier New" w:cs="Courier New"/>
        <w:vertAlign w:val="baseline"/>
      </w:rPr>
    </w:lvl>
    <w:lvl w:ilvl="5">
      <w:start w:val="1"/>
      <w:numFmt w:val="bullet"/>
      <w:lvlText w:val="▪"/>
      <w:lvlJc w:val="left"/>
      <w:pPr>
        <w:ind w:left="4485" w:hanging="360"/>
      </w:pPr>
      <w:rPr>
        <w:rFonts w:ascii="Noto Sans Symbols" w:eastAsia="Noto Sans Symbols" w:hAnsi="Noto Sans Symbols" w:cs="Noto Sans Symbols"/>
        <w:vertAlign w:val="baseline"/>
      </w:rPr>
    </w:lvl>
    <w:lvl w:ilvl="6">
      <w:start w:val="1"/>
      <w:numFmt w:val="bullet"/>
      <w:lvlText w:val="●"/>
      <w:lvlJc w:val="left"/>
      <w:pPr>
        <w:ind w:left="5205" w:hanging="360"/>
      </w:pPr>
      <w:rPr>
        <w:rFonts w:ascii="Noto Sans Symbols" w:eastAsia="Noto Sans Symbols" w:hAnsi="Noto Sans Symbols" w:cs="Noto Sans Symbols"/>
        <w:vertAlign w:val="baseline"/>
      </w:rPr>
    </w:lvl>
    <w:lvl w:ilvl="7">
      <w:start w:val="1"/>
      <w:numFmt w:val="bullet"/>
      <w:lvlText w:val="o"/>
      <w:lvlJc w:val="left"/>
      <w:pPr>
        <w:ind w:left="5925" w:hanging="360"/>
      </w:pPr>
      <w:rPr>
        <w:rFonts w:ascii="Courier New" w:eastAsia="Courier New" w:hAnsi="Courier New" w:cs="Courier New"/>
        <w:vertAlign w:val="baseline"/>
      </w:rPr>
    </w:lvl>
    <w:lvl w:ilvl="8">
      <w:start w:val="1"/>
      <w:numFmt w:val="bullet"/>
      <w:lvlText w:val="▪"/>
      <w:lvlJc w:val="left"/>
      <w:pPr>
        <w:ind w:left="6645" w:hanging="360"/>
      </w:pPr>
      <w:rPr>
        <w:rFonts w:ascii="Noto Sans Symbols" w:eastAsia="Noto Sans Symbols" w:hAnsi="Noto Sans Symbols" w:cs="Noto Sans Symbols"/>
        <w:vertAlign w:val="baseline"/>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FE"/>
    <w:rsid w:val="00343A66"/>
    <w:rsid w:val="004307D4"/>
    <w:rsid w:val="005B08EE"/>
    <w:rsid w:val="00647247"/>
    <w:rsid w:val="00E010FE"/>
    <w:rsid w:val="00E61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E6BB6-4A7A-4C24-97FA-23C5E261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10FE"/>
    <w:rPr>
      <w:rFonts w:ascii="Cambria" w:eastAsia="Cambria" w:hAnsi="Cambria" w:cs="Cambria"/>
      <w:lang w:val="uk-UA" w:eastAsia="uk-UA"/>
    </w:rPr>
  </w:style>
  <w:style w:type="paragraph" w:styleId="1">
    <w:name w:val="heading 1"/>
    <w:basedOn w:val="a"/>
    <w:next w:val="a"/>
    <w:link w:val="10"/>
    <w:uiPriority w:val="9"/>
    <w:qFormat/>
    <w:rsid w:val="005B08EE"/>
    <w:pPr>
      <w:keepNext/>
      <w:keepLines/>
      <w:spacing w:before="240" w:after="0"/>
      <w:outlineLvl w:val="0"/>
    </w:pPr>
    <w:rPr>
      <w:rFonts w:ascii="Calibri" w:eastAsia="Calibri" w:hAnsi="Calibri" w:cs="Calibri"/>
      <w:color w:val="366091"/>
      <w:sz w:val="32"/>
      <w:szCs w:val="32"/>
    </w:rPr>
  </w:style>
  <w:style w:type="paragraph" w:styleId="4">
    <w:name w:val="heading 4"/>
    <w:basedOn w:val="a"/>
    <w:next w:val="a"/>
    <w:link w:val="40"/>
    <w:uiPriority w:val="9"/>
    <w:unhideWhenUsed/>
    <w:qFormat/>
    <w:rsid w:val="005B08EE"/>
    <w:pPr>
      <w:keepNext/>
      <w:keepLines/>
      <w:spacing w:before="40" w:after="0"/>
      <w:outlineLvl w:val="3"/>
    </w:pPr>
    <w:rPr>
      <w:rFonts w:ascii="Calibri" w:eastAsia="Calibri" w:hAnsi="Calibri" w:cs="Calibri"/>
      <w:i/>
      <w:color w:val="3660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0FE"/>
    <w:pPr>
      <w:ind w:left="720"/>
      <w:contextualSpacing/>
    </w:pPr>
  </w:style>
  <w:style w:type="character" w:customStyle="1" w:styleId="10">
    <w:name w:val="Заголовок 1 Знак"/>
    <w:basedOn w:val="a0"/>
    <w:link w:val="1"/>
    <w:uiPriority w:val="9"/>
    <w:rsid w:val="005B08EE"/>
    <w:rPr>
      <w:rFonts w:ascii="Calibri" w:eastAsia="Calibri" w:hAnsi="Calibri" w:cs="Calibri"/>
      <w:color w:val="366091"/>
      <w:sz w:val="32"/>
      <w:szCs w:val="32"/>
      <w:lang w:val="uk-UA" w:eastAsia="uk-UA"/>
    </w:rPr>
  </w:style>
  <w:style w:type="character" w:customStyle="1" w:styleId="40">
    <w:name w:val="Заголовок 4 Знак"/>
    <w:basedOn w:val="a0"/>
    <w:link w:val="4"/>
    <w:uiPriority w:val="9"/>
    <w:rsid w:val="005B08EE"/>
    <w:rPr>
      <w:rFonts w:ascii="Calibri" w:eastAsia="Calibri" w:hAnsi="Calibri" w:cs="Calibri"/>
      <w:i/>
      <w:color w:val="366091"/>
      <w:lang w:val="uk-UA" w:eastAsia="uk-UA"/>
    </w:rPr>
  </w:style>
  <w:style w:type="paragraph" w:styleId="2">
    <w:name w:val="List Number 2"/>
    <w:rsid w:val="005B08EE"/>
    <w:pPr>
      <w:numPr>
        <w:numId w:val="4"/>
      </w:numPr>
      <w:spacing w:after="0" w:line="240" w:lineRule="auto"/>
      <w:ind w:left="-1" w:hanging="1"/>
      <w:contextualSpacing/>
    </w:pPr>
    <w:rPr>
      <w:rFonts w:ascii="Cambria" w:eastAsia="Cambria" w:hAnsi="Cambria" w:cs="Cambria"/>
      <w:lang w:val="uk-UA" w:eastAsia="uk-UA"/>
    </w:rPr>
  </w:style>
  <w:style w:type="table" w:customStyle="1" w:styleId="72">
    <w:name w:val="72"/>
    <w:basedOn w:val="a1"/>
    <w:rsid w:val="005B08EE"/>
    <w:rPr>
      <w:rFonts w:ascii="Cambria" w:eastAsia="Cambria" w:hAnsi="Cambria" w:cs="Cambria"/>
      <w:lang w:val="uk-UA" w:eastAsia="uk-UA"/>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40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1289</Words>
  <Characters>7352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Мамаєнко Наталія О.</dc:creator>
  <cp:keywords/>
  <dc:description/>
  <cp:lastModifiedBy>Голдіна Каріна А.</cp:lastModifiedBy>
  <cp:revision>4</cp:revision>
  <dcterms:created xsi:type="dcterms:W3CDTF">2026-01-21T15:09:00Z</dcterms:created>
  <dcterms:modified xsi:type="dcterms:W3CDTF">2026-04-03T13:47:00Z</dcterms:modified>
</cp:coreProperties>
</file>