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69F" w:rsidRPr="0055769F" w:rsidRDefault="0055769F" w:rsidP="0055769F">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mc:AlternateContent>
          <mc:Choice Requires="wps">
            <w:drawing>
              <wp:anchor distT="0" distB="0" distL="114300" distR="114300" simplePos="0" relativeHeight="251659264" behindDoc="0" locked="0" layoutInCell="1" allowOverlap="1" wp14:anchorId="6B9CE326" wp14:editId="7CC3154C">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rsidR="0055769F" w:rsidRDefault="0055769F" w:rsidP="0055769F">
                            <w:r>
                              <w:rPr>
                                <w:noProof/>
                              </w:rPr>
                              <w:drawing>
                                <wp:inline distT="0" distB="0" distL="0" distR="0" wp14:anchorId="6A5FE01A" wp14:editId="7B2522BA">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9CE326"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rsidR="0055769F" w:rsidRDefault="0055769F" w:rsidP="0055769F">
                      <w:r>
                        <w:rPr>
                          <w:noProof/>
                        </w:rPr>
                        <w:drawing>
                          <wp:inline distT="0" distB="0" distL="0" distR="0" wp14:anchorId="6A5FE01A" wp14:editId="7B2522BA">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v:textbox>
              </v:shape>
            </w:pict>
          </mc:Fallback>
        </mc:AlternateContent>
      </w:r>
      <w:r w:rsidRPr="0055769F">
        <w:rPr>
          <w:rFonts w:ascii="Times New Roman" w:eastAsia="Times New Roman" w:hAnsi="Times New Roman" w:cs="Times New Roman"/>
          <w:color w:val="000000"/>
          <w:sz w:val="24"/>
          <w:szCs w:val="24"/>
        </w:rPr>
        <w:t>Extract from the Rules of the</w:t>
      </w:r>
    </w:p>
    <w:p w:rsidR="0055769F" w:rsidRPr="0055769F" w:rsidRDefault="0055769F" w:rsidP="0055769F">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“Globus” International Payment System,</w:t>
      </w:r>
    </w:p>
    <w:p w:rsidR="0055769F" w:rsidRPr="0055769F" w:rsidRDefault="0055769F" w:rsidP="0055769F">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approved by the minutes of the meeting</w:t>
      </w:r>
    </w:p>
    <w:p w:rsidR="0055769F" w:rsidRPr="0055769F" w:rsidRDefault="0055769F" w:rsidP="0055769F">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bookmarkStart w:id="0" w:name="_Hlk226109942"/>
      <w:bookmarkEnd w:id="0"/>
      <w:r w:rsidRPr="0055769F">
        <w:rPr>
          <w:rFonts w:ascii="Times New Roman" w:eastAsia="Times New Roman" w:hAnsi="Times New Roman" w:cs="Times New Roman"/>
          <w:color w:val="000000"/>
          <w:sz w:val="24"/>
          <w:szCs w:val="24"/>
        </w:rPr>
        <w:t>of the Management Board</w:t>
      </w:r>
    </w:p>
    <w:p w:rsidR="0055769F" w:rsidRPr="0055769F" w:rsidRDefault="0055769F" w:rsidP="0055769F">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of JSC “CB “GLOBUS”</w:t>
      </w:r>
    </w:p>
    <w:p w:rsidR="0055769F" w:rsidRPr="0055769F" w:rsidRDefault="0055769F" w:rsidP="0055769F">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on 17 November 2025</w:t>
      </w:r>
    </w:p>
    <w:p w:rsidR="00E010FE" w:rsidRPr="00E010FE" w:rsidRDefault="00E010FE" w:rsidP="00E010FE">
      <w:pPr>
        <w:widowControl w:val="0"/>
        <w:pBdr>
          <w:top w:val="nil"/>
          <w:left w:val="nil"/>
          <w:bottom w:val="nil"/>
          <w:right w:val="nil"/>
          <w:between w:val="nil"/>
        </w:pBdr>
        <w:spacing w:after="0"/>
        <w:ind w:left="5103"/>
        <w:rPr>
          <w:rFonts w:ascii="Times New Roman" w:hAnsi="Times New Roman" w:cs="Times New Roman"/>
          <w:sz w:val="24"/>
          <w:szCs w:val="24"/>
        </w:rPr>
      </w:pPr>
    </w:p>
    <w:p w:rsidR="00E010FE" w:rsidRPr="00E010FE" w:rsidRDefault="00E010FE" w:rsidP="00E010FE">
      <w:pPr>
        <w:widowControl w:val="0"/>
        <w:pBdr>
          <w:top w:val="nil"/>
          <w:left w:val="nil"/>
          <w:bottom w:val="nil"/>
          <w:right w:val="nil"/>
          <w:between w:val="nil"/>
        </w:pBdr>
        <w:spacing w:after="0"/>
        <w:ind w:left="5103"/>
        <w:rPr>
          <w:rFonts w:ascii="Times New Roman" w:hAnsi="Times New Roman" w:cs="Times New Roman"/>
          <w:sz w:val="24"/>
          <w:szCs w:val="24"/>
        </w:rPr>
      </w:pPr>
    </w:p>
    <w:p w:rsidR="0055769F" w:rsidRPr="0055769F" w:rsidRDefault="0055769F" w:rsidP="0055769F">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55769F">
        <w:rPr>
          <w:rFonts w:ascii="Times New Roman" w:eastAsia="Times New Roman" w:hAnsi="Times New Roman" w:cs="Times New Roman"/>
          <w:b/>
          <w:bCs/>
          <w:sz w:val="28"/>
          <w:szCs w:val="28"/>
          <w:lang w:val="en-US" w:eastAsia="ru-RU"/>
        </w:rPr>
        <w:t>Procedure for Termination of Participation and Exclusion of a Payment System Participant Failing to Meet Requirements and Established Criteria</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b/>
          <w:bCs/>
          <w:sz w:val="24"/>
          <w:szCs w:val="24"/>
          <w:lang w:val="en-US" w:eastAsia="ru-RU"/>
        </w:rPr>
        <w:t>48.</w:t>
      </w:r>
      <w:r>
        <w:rPr>
          <w:rFonts w:ascii="Times New Roman" w:eastAsia="Times New Roman" w:hAnsi="Times New Roman" w:cs="Times New Roman"/>
          <w:b/>
          <w:bCs/>
          <w:sz w:val="24"/>
          <w:szCs w:val="24"/>
          <w:lang w:val="en-US" w:eastAsia="ru-RU"/>
        </w:rPr>
        <w:tab/>
      </w:r>
      <w:r w:rsidRPr="0055769F">
        <w:rPr>
          <w:rFonts w:ascii="Times New Roman" w:eastAsia="Times New Roman" w:hAnsi="Times New Roman" w:cs="Times New Roman"/>
          <w:b/>
          <w:bCs/>
          <w:sz w:val="24"/>
          <w:szCs w:val="24"/>
          <w:lang w:val="en-US" w:eastAsia="ru-RU"/>
        </w:rPr>
        <w:t xml:space="preserve"> Procedure for Withdrawal from the Payment System.</w:t>
      </w:r>
      <w:r w:rsidRPr="0055769F">
        <w:rPr>
          <w:rFonts w:ascii="Times New Roman" w:eastAsia="Times New Roman" w:hAnsi="Times New Roman" w:cs="Times New Roman"/>
          <w:sz w:val="24"/>
          <w:szCs w:val="24"/>
          <w:lang w:val="en-US" w:eastAsia="ru-RU"/>
        </w:rPr>
        <w:t xml:space="preserve"> Participation in the Payment System </w:t>
      </w:r>
      <w:r w:rsidRPr="0055769F">
        <w:rPr>
          <w:rFonts w:ascii="Times New Roman" w:eastAsia="Times New Roman" w:hAnsi="Times New Roman" w:cs="Times New Roman"/>
          <w:color w:val="000000"/>
          <w:sz w:val="24"/>
          <w:szCs w:val="24"/>
        </w:rPr>
        <w:t>may be terminated (with the removal of information about the participant from the Register of Payment Infrastructure):</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for a Direct and Indirect Participant — at the initiative of the Operator;</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for a Direct Participant — also at the initiative of the Direct Participant;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for an Indirect Participant — also at the initiative of the Indirect Participant, subject to agreement with the Direct Participant.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 xml:space="preserve">49. </w:t>
      </w:r>
      <w:r>
        <w:rPr>
          <w:rFonts w:ascii="Times New Roman" w:eastAsia="Times New Roman" w:hAnsi="Times New Roman" w:cs="Times New Roman"/>
          <w:color w:val="000000"/>
          <w:sz w:val="24"/>
          <w:szCs w:val="24"/>
        </w:rPr>
        <w:tab/>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Operator</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shall</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take</w:t>
      </w:r>
      <w:proofErr w:type="spellEnd"/>
      <w:r w:rsidRPr="0055769F">
        <w:rPr>
          <w:rFonts w:ascii="Times New Roman" w:eastAsia="Times New Roman" w:hAnsi="Times New Roman" w:cs="Times New Roman"/>
          <w:color w:val="000000"/>
          <w:sz w:val="24"/>
          <w:szCs w:val="24"/>
        </w:rPr>
        <w:t xml:space="preserve"> measures for termination in th</w:t>
      </w:r>
      <w:bookmarkStart w:id="1" w:name="_GoBack"/>
      <w:bookmarkEnd w:id="1"/>
      <w:r w:rsidRPr="0055769F">
        <w:rPr>
          <w:rFonts w:ascii="Times New Roman" w:eastAsia="Times New Roman" w:hAnsi="Times New Roman" w:cs="Times New Roman"/>
          <w:color w:val="000000"/>
          <w:sz w:val="24"/>
          <w:szCs w:val="24"/>
        </w:rPr>
        <w:t>e event that the actions of the Participants pose a significant risk to the Payment System. The Operator may also decide to temporarily suspend the participation of a designated Direct Participant for a certain period, as well as restrict its capabilities within the system (e.g., the ability to provide Users with certain transfer services, reduction of limits for the Participant, etc.).</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 xml:space="preserve">50. </w:t>
      </w:r>
      <w:r>
        <w:rPr>
          <w:rFonts w:ascii="Times New Roman" w:eastAsia="Times New Roman" w:hAnsi="Times New Roman" w:cs="Times New Roman"/>
          <w:color w:val="000000"/>
          <w:sz w:val="24"/>
          <w:szCs w:val="24"/>
        </w:rPr>
        <w:tab/>
      </w:r>
      <w:r w:rsidRPr="0055769F">
        <w:rPr>
          <w:rFonts w:ascii="Times New Roman" w:eastAsia="Times New Roman" w:hAnsi="Times New Roman" w:cs="Times New Roman"/>
          <w:color w:val="000000"/>
          <w:sz w:val="24"/>
          <w:szCs w:val="24"/>
        </w:rPr>
        <w:t xml:space="preserve">A </w:t>
      </w:r>
      <w:proofErr w:type="spellStart"/>
      <w:r w:rsidRPr="0055769F">
        <w:rPr>
          <w:rFonts w:ascii="Times New Roman" w:eastAsia="Times New Roman" w:hAnsi="Times New Roman" w:cs="Times New Roman"/>
          <w:color w:val="000000"/>
          <w:sz w:val="24"/>
          <w:szCs w:val="24"/>
        </w:rPr>
        <w:t>Direct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Participant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may</w:t>
      </w:r>
      <w:proofErr w:type="spellEnd"/>
      <w:r w:rsidRPr="0055769F">
        <w:rPr>
          <w:rFonts w:ascii="Times New Roman" w:eastAsia="Times New Roman" w:hAnsi="Times New Roman" w:cs="Times New Roman"/>
          <w:color w:val="000000"/>
          <w:sz w:val="24"/>
          <w:szCs w:val="24"/>
        </w:rPr>
        <w:t xml:space="preserve"> decide to suspend the participation of its Indirect Participant for a certain period, as well as restrict its capabilities: restricting access to the ability to provide certain types of payment transactions or services, reducing limits for the Indirect Participant, etc.</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 xml:space="preserve">51. </w:t>
      </w:r>
      <w:r>
        <w:rPr>
          <w:rFonts w:ascii="Times New Roman" w:eastAsia="Times New Roman" w:hAnsi="Times New Roman" w:cs="Times New Roman"/>
          <w:color w:val="000000"/>
          <w:sz w:val="24"/>
          <w:szCs w:val="24"/>
        </w:rPr>
        <w:tab/>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activity</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of</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any</w:t>
      </w:r>
      <w:proofErr w:type="spellEnd"/>
      <w:r w:rsidRPr="0055769F">
        <w:rPr>
          <w:rFonts w:ascii="Times New Roman" w:eastAsia="Times New Roman" w:hAnsi="Times New Roman" w:cs="Times New Roman"/>
          <w:color w:val="000000"/>
          <w:sz w:val="24"/>
          <w:szCs w:val="24"/>
        </w:rPr>
        <w:t xml:space="preserve"> Direct Participant in the Payment System may be terminated/temporarily suspended by the Operator, with the relevant information entered into the Payment System software, in the following cases, including but not limited to:</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at the initiative of the Direct Participant — on the day of receipt of the relevant written notification from the Direct Participant specifying the circumstances for termination/temporary suspension. Such notification must be submitted at least 30 (thirty) calendar days prior to the termination of the Agreement, counting from the moment the Operator receives the notification;</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at the initiative of the Operator — in the event of the following grounds: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occurrence of risks to the proper functioning of the Payment System;</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violation by the Participant of the terms of the Agreement, these Rules, or the legislation of Ukraine and/or the country of location and registration of the Participant;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possession by the Operator of reliable information that, when performing transfers within the Payment System, the Direct Participant fails to comply with the legal requirements of its jurisdiction, specifically regarding currency supervision and anti-money laundering and countering the financing of terrorism (AML/CFT);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provision of false information or documentation required by the Operator by the Direct Participant;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refusal of the Direct Participant to provide the necessary information and documentation required by the Operator;</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sale by the Direct Participant of all or a major portion of its assets;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lastRenderedPageBreak/>
        <w:t>cases of adverse changes in the activities of the Direct Participant, including settlement discipline under the concluded Agreement, financial condition, business processes, products, or services of the Direct Participant;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attempts by the Direct Participant to assign, delegate, or otherwise transfer rights and obligations related to participation in the Payment System, in whole or in part, to a third party, including during reorganization, without prior written approval from the Operator;</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initiation of bankruptcy proceedings against the Direct Participant in accordance with the legislation of Ukraine and/or the country of residence of the Direct Participant pertaining to bankruptcy, insolvency, reorganization, liquidation, or debt settlement;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possession by the Operator of reliable information that the Direct Participant fails to ensure banking secrecy and personal data protection in accordance with the legislation of Ukraine and these Rules;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possession by the Operator of reliable information that the Direct Participant fails to comply with information protection requirements when performing transfers and other operations in the Payment System as provided by Ukrainian legislation and these Rules;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a decision by the National Bank of Ukraine to categorize the Direct Participant as insolvent;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revocation of the Direct Participant’s banking license / National Bank of Ukraine license for providing financial payment services / National Bank of Ukraine license for currency operations / permit to perform international transfer operations (for non-residents);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possession by the Operator of reliable information that the Direct Participant no longer meets the criteria defined in this section of the Rules.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 xml:space="preserve">52. </w:t>
      </w:r>
      <w:r>
        <w:rPr>
          <w:rFonts w:ascii="Times New Roman" w:eastAsia="Times New Roman" w:hAnsi="Times New Roman" w:cs="Times New Roman"/>
          <w:color w:val="000000"/>
          <w:sz w:val="24"/>
          <w:szCs w:val="24"/>
        </w:rPr>
        <w:tab/>
      </w:r>
      <w:r w:rsidRPr="0055769F">
        <w:rPr>
          <w:rFonts w:ascii="Times New Roman" w:eastAsia="Times New Roman" w:hAnsi="Times New Roman" w:cs="Times New Roman"/>
          <w:color w:val="000000"/>
          <w:sz w:val="24"/>
          <w:szCs w:val="24"/>
        </w:rPr>
        <w:t xml:space="preserve">A </w:t>
      </w:r>
      <w:proofErr w:type="spellStart"/>
      <w:r w:rsidRPr="0055769F">
        <w:rPr>
          <w:rFonts w:ascii="Times New Roman" w:eastAsia="Times New Roman" w:hAnsi="Times New Roman" w:cs="Times New Roman"/>
          <w:color w:val="000000"/>
          <w:sz w:val="24"/>
          <w:szCs w:val="24"/>
        </w:rPr>
        <w:t>Direct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Participant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may</w:t>
      </w:r>
      <w:proofErr w:type="spellEnd"/>
      <w:r w:rsidRPr="0055769F">
        <w:rPr>
          <w:rFonts w:ascii="Times New Roman" w:eastAsia="Times New Roman" w:hAnsi="Times New Roman" w:cs="Times New Roman"/>
          <w:color w:val="000000"/>
          <w:sz w:val="24"/>
          <w:szCs w:val="24"/>
        </w:rPr>
        <w:t xml:space="preserve"> initiate the termination of an Indirect Participant’s participation on similar grounds.</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 xml:space="preserve">53. </w:t>
      </w:r>
      <w:r>
        <w:rPr>
          <w:rFonts w:ascii="Times New Roman" w:eastAsia="Times New Roman" w:hAnsi="Times New Roman" w:cs="Times New Roman"/>
          <w:color w:val="000000"/>
          <w:sz w:val="24"/>
          <w:szCs w:val="24"/>
        </w:rPr>
        <w:tab/>
      </w:r>
      <w:proofErr w:type="spellStart"/>
      <w:r w:rsidRPr="0055769F">
        <w:rPr>
          <w:rFonts w:ascii="Times New Roman" w:eastAsia="Times New Roman" w:hAnsi="Times New Roman" w:cs="Times New Roman"/>
          <w:color w:val="000000"/>
          <w:sz w:val="24"/>
          <w:szCs w:val="24"/>
        </w:rPr>
        <w:t>In</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event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of</w:t>
      </w:r>
      <w:proofErr w:type="spellEnd"/>
      <w:r w:rsidRPr="0055769F">
        <w:rPr>
          <w:rFonts w:ascii="Times New Roman" w:eastAsia="Times New Roman" w:hAnsi="Times New Roman" w:cs="Times New Roman"/>
          <w:color w:val="000000"/>
          <w:sz w:val="24"/>
          <w:szCs w:val="24"/>
        </w:rPr>
        <w:t xml:space="preserve"> a temporary suspension of a Direct Participant’s activity, its operation in the Payment System may be resumed by the Operator after all deficiencies are rectified and relevant supporting documents are provided upon the Operator’s request.</w:t>
      </w:r>
    </w:p>
    <w:p w:rsidR="0055769F" w:rsidRPr="0055769F" w:rsidRDefault="0055769F" w:rsidP="005576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ab/>
      </w:r>
      <w:r w:rsidRPr="0055769F">
        <w:rPr>
          <w:rFonts w:ascii="Times New Roman" w:eastAsia="Times New Roman" w:hAnsi="Times New Roman" w:cs="Times New Roman"/>
          <w:color w:val="000000"/>
          <w:sz w:val="24"/>
          <w:szCs w:val="24"/>
        </w:rPr>
        <w:t xml:space="preserve"> The Operator has the right, under the conditions set forth in this section of the Rules, to terminate or temporarily suspend both a Direct Participant and its Indirect Participant, including their individual PNFPs (</w:t>
      </w:r>
      <w:r w:rsidRPr="0055769F">
        <w:rPr>
          <w:rFonts w:ascii="Times New Roman" w:eastAsia="Times New Roman" w:hAnsi="Times New Roman" w:cs="Times New Roman"/>
          <w:color w:val="FF0000"/>
          <w:sz w:val="24"/>
          <w:szCs w:val="24"/>
        </w:rPr>
        <w:t>Points of Sale for Financial Services).</w:t>
      </w:r>
    </w:p>
    <w:p w:rsidR="00E010FE" w:rsidRPr="0055769F" w:rsidRDefault="00E010FE" w:rsidP="0055769F">
      <w:pPr>
        <w:widowControl w:val="0"/>
        <w:pBdr>
          <w:top w:val="nil"/>
          <w:left w:val="nil"/>
          <w:bottom w:val="nil"/>
          <w:right w:val="nil"/>
          <w:between w:val="nil"/>
        </w:pBdr>
        <w:spacing w:after="0"/>
        <w:jc w:val="center"/>
        <w:rPr>
          <w:rFonts w:ascii="Times New Roman" w:hAnsi="Times New Roman" w:cs="Times New Roman"/>
          <w:b/>
          <w:sz w:val="24"/>
          <w:szCs w:val="24"/>
          <w:lang w:val="en-US"/>
        </w:rPr>
      </w:pPr>
    </w:p>
    <w:sectPr w:rsidR="00E010FE" w:rsidRPr="0055769F" w:rsidSect="0055769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3AD"/>
    <w:multiLevelType w:val="multilevel"/>
    <w:tmpl w:val="44FA813A"/>
    <w:lvl w:ilvl="0">
      <w:start w:val="7"/>
      <w:numFmt w:val="bullet"/>
      <w:lvlText w:val="-"/>
      <w:lvlJc w:val="left"/>
      <w:pPr>
        <w:ind w:left="718" w:hanging="360"/>
      </w:pPr>
      <w:rPr>
        <w:rFonts w:ascii="Calibri" w:eastAsia="Calibri" w:hAnsi="Calibri" w:cs="Calibri"/>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06261EED"/>
    <w:multiLevelType w:val="multilevel"/>
    <w:tmpl w:val="4202B7CE"/>
    <w:lvl w:ilvl="0">
      <w:start w:val="1"/>
      <w:numFmt w:val="decimal"/>
      <w:lvlText w:val="%1."/>
      <w:lvlJc w:val="left"/>
      <w:pPr>
        <w:ind w:left="1429" w:hanging="360"/>
      </w:pPr>
      <w:rPr>
        <w:vertAlign w:val="baseline"/>
      </w:rPr>
    </w:lvl>
    <w:lvl w:ilvl="1">
      <w:start w:val="1"/>
      <w:numFmt w:val="decimal"/>
      <w:lvlText w:val="%2."/>
      <w:lvlJc w:val="left"/>
      <w:pPr>
        <w:ind w:left="3054" w:hanging="360"/>
      </w:pPr>
      <w:rPr>
        <w:color w:val="000000"/>
        <w:shd w:val="clear" w:color="auto" w:fill="auto"/>
        <w:vertAlign w:val="baseline"/>
      </w:rPr>
    </w:lvl>
    <w:lvl w:ilvl="2">
      <w:start w:val="1"/>
      <w:numFmt w:val="decimal"/>
      <w:lvlText w:val="%3)"/>
      <w:lvlJc w:val="left"/>
      <w:pPr>
        <w:ind w:left="3049" w:hanging="36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 w15:restartNumberingAfterBreak="0">
    <w:nsid w:val="06C4477F"/>
    <w:multiLevelType w:val="multilevel"/>
    <w:tmpl w:val="3C2CD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86ED4"/>
    <w:multiLevelType w:val="hybridMultilevel"/>
    <w:tmpl w:val="1B642F08"/>
    <w:lvl w:ilvl="0" w:tplc="9A08CF6E">
      <w:start w:val="51"/>
      <w:numFmt w:val="decimal"/>
      <w:lvlText w:val="%1."/>
      <w:lvlJc w:val="left"/>
      <w:pPr>
        <w:ind w:left="3054" w:hanging="360"/>
      </w:pPr>
      <w:rPr>
        <w:rFonts w:hint="default"/>
        <w:b/>
        <w:color w:val="00000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4" w15:restartNumberingAfterBreak="0">
    <w:nsid w:val="35746B47"/>
    <w:multiLevelType w:val="hybridMultilevel"/>
    <w:tmpl w:val="633EBECE"/>
    <w:lvl w:ilvl="0" w:tplc="524A6A7A">
      <w:start w:val="16"/>
      <w:numFmt w:val="decimal"/>
      <w:lvlText w:val="%1."/>
      <w:lvlJc w:val="left"/>
      <w:pPr>
        <w:ind w:left="3054" w:hanging="360"/>
      </w:pPr>
      <w:rPr>
        <w:rFonts w:hint="default"/>
        <w:color w:val="000000"/>
      </w:rPr>
    </w:lvl>
    <w:lvl w:ilvl="1" w:tplc="04220019" w:tentative="1">
      <w:start w:val="1"/>
      <w:numFmt w:val="lowerLetter"/>
      <w:lvlText w:val="%2."/>
      <w:lvlJc w:val="left"/>
      <w:pPr>
        <w:ind w:left="3774" w:hanging="360"/>
      </w:pPr>
    </w:lvl>
    <w:lvl w:ilvl="2" w:tplc="0422001B" w:tentative="1">
      <w:start w:val="1"/>
      <w:numFmt w:val="lowerRoman"/>
      <w:lvlText w:val="%3."/>
      <w:lvlJc w:val="right"/>
      <w:pPr>
        <w:ind w:left="4494" w:hanging="180"/>
      </w:pPr>
    </w:lvl>
    <w:lvl w:ilvl="3" w:tplc="0422000F" w:tentative="1">
      <w:start w:val="1"/>
      <w:numFmt w:val="decimal"/>
      <w:lvlText w:val="%4."/>
      <w:lvlJc w:val="left"/>
      <w:pPr>
        <w:ind w:left="5214" w:hanging="360"/>
      </w:pPr>
    </w:lvl>
    <w:lvl w:ilvl="4" w:tplc="04220019" w:tentative="1">
      <w:start w:val="1"/>
      <w:numFmt w:val="lowerLetter"/>
      <w:lvlText w:val="%5."/>
      <w:lvlJc w:val="left"/>
      <w:pPr>
        <w:ind w:left="5934" w:hanging="360"/>
      </w:pPr>
    </w:lvl>
    <w:lvl w:ilvl="5" w:tplc="0422001B" w:tentative="1">
      <w:start w:val="1"/>
      <w:numFmt w:val="lowerRoman"/>
      <w:lvlText w:val="%6."/>
      <w:lvlJc w:val="right"/>
      <w:pPr>
        <w:ind w:left="6654" w:hanging="180"/>
      </w:pPr>
    </w:lvl>
    <w:lvl w:ilvl="6" w:tplc="0422000F" w:tentative="1">
      <w:start w:val="1"/>
      <w:numFmt w:val="decimal"/>
      <w:lvlText w:val="%7."/>
      <w:lvlJc w:val="left"/>
      <w:pPr>
        <w:ind w:left="7374" w:hanging="360"/>
      </w:pPr>
    </w:lvl>
    <w:lvl w:ilvl="7" w:tplc="04220019" w:tentative="1">
      <w:start w:val="1"/>
      <w:numFmt w:val="lowerLetter"/>
      <w:lvlText w:val="%8."/>
      <w:lvlJc w:val="left"/>
      <w:pPr>
        <w:ind w:left="8094" w:hanging="360"/>
      </w:pPr>
    </w:lvl>
    <w:lvl w:ilvl="8" w:tplc="0422001B" w:tentative="1">
      <w:start w:val="1"/>
      <w:numFmt w:val="lowerRoman"/>
      <w:lvlText w:val="%9."/>
      <w:lvlJc w:val="right"/>
      <w:pPr>
        <w:ind w:left="8814" w:hanging="180"/>
      </w:pPr>
    </w:lvl>
  </w:abstractNum>
  <w:abstractNum w:abstractNumId="5" w15:restartNumberingAfterBreak="0">
    <w:nsid w:val="530B0521"/>
    <w:multiLevelType w:val="multilevel"/>
    <w:tmpl w:val="D0FA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F4150"/>
    <w:multiLevelType w:val="multilevel"/>
    <w:tmpl w:val="D3DAC9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CC95AC4"/>
    <w:multiLevelType w:val="multilevel"/>
    <w:tmpl w:val="BD94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F02B69"/>
    <w:multiLevelType w:val="multilevel"/>
    <w:tmpl w:val="294800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89863E9"/>
    <w:multiLevelType w:val="multilevel"/>
    <w:tmpl w:val="356A7482"/>
    <w:lvl w:ilvl="0">
      <w:start w:val="3"/>
      <w:numFmt w:val="bullet"/>
      <w:pStyle w:val="2"/>
      <w:lvlText w:val="-"/>
      <w:lvlJc w:val="left"/>
      <w:pPr>
        <w:ind w:left="502" w:hanging="360"/>
      </w:pPr>
      <w:rPr>
        <w:rFonts w:ascii="Times New Roman" w:eastAsia="Times New Roman" w:hAnsi="Times New Roman" w:cs="Times New Roman"/>
        <w:i w:val="0"/>
        <w:vertAlign w:val="baseline"/>
      </w:rPr>
    </w:lvl>
    <w:lvl w:ilvl="1">
      <w:start w:val="1"/>
      <w:numFmt w:val="bullet"/>
      <w:lvlText w:val="o"/>
      <w:lvlJc w:val="left"/>
      <w:pPr>
        <w:ind w:left="1605" w:hanging="360"/>
      </w:pPr>
      <w:rPr>
        <w:rFonts w:ascii="Courier New" w:eastAsia="Courier New" w:hAnsi="Courier New" w:cs="Courier New"/>
        <w:vertAlign w:val="baseline"/>
      </w:rPr>
    </w:lvl>
    <w:lvl w:ilvl="2">
      <w:start w:val="1"/>
      <w:numFmt w:val="bullet"/>
      <w:lvlText w:val="▪"/>
      <w:lvlJc w:val="left"/>
      <w:pPr>
        <w:ind w:left="2325" w:hanging="360"/>
      </w:pPr>
      <w:rPr>
        <w:rFonts w:ascii="Noto Sans Symbols" w:eastAsia="Noto Sans Symbols" w:hAnsi="Noto Sans Symbols" w:cs="Noto Sans Symbols"/>
        <w:vertAlign w:val="baseline"/>
      </w:rPr>
    </w:lvl>
    <w:lvl w:ilvl="3">
      <w:start w:val="1"/>
      <w:numFmt w:val="bullet"/>
      <w:lvlText w:val="●"/>
      <w:lvlJc w:val="left"/>
      <w:pPr>
        <w:ind w:left="3045" w:hanging="360"/>
      </w:pPr>
      <w:rPr>
        <w:rFonts w:ascii="Noto Sans Symbols" w:eastAsia="Noto Sans Symbols" w:hAnsi="Noto Sans Symbols" w:cs="Noto Sans Symbols"/>
        <w:vertAlign w:val="baseline"/>
      </w:rPr>
    </w:lvl>
    <w:lvl w:ilvl="4">
      <w:start w:val="1"/>
      <w:numFmt w:val="bullet"/>
      <w:lvlText w:val="o"/>
      <w:lvlJc w:val="left"/>
      <w:pPr>
        <w:ind w:left="3765" w:hanging="360"/>
      </w:pPr>
      <w:rPr>
        <w:rFonts w:ascii="Courier New" w:eastAsia="Courier New" w:hAnsi="Courier New" w:cs="Courier New"/>
        <w:vertAlign w:val="baseline"/>
      </w:rPr>
    </w:lvl>
    <w:lvl w:ilvl="5">
      <w:start w:val="1"/>
      <w:numFmt w:val="bullet"/>
      <w:lvlText w:val="▪"/>
      <w:lvlJc w:val="left"/>
      <w:pPr>
        <w:ind w:left="4485" w:hanging="360"/>
      </w:pPr>
      <w:rPr>
        <w:rFonts w:ascii="Noto Sans Symbols" w:eastAsia="Noto Sans Symbols" w:hAnsi="Noto Sans Symbols" w:cs="Noto Sans Symbols"/>
        <w:vertAlign w:val="baseline"/>
      </w:rPr>
    </w:lvl>
    <w:lvl w:ilvl="6">
      <w:start w:val="1"/>
      <w:numFmt w:val="bullet"/>
      <w:lvlText w:val="●"/>
      <w:lvlJc w:val="left"/>
      <w:pPr>
        <w:ind w:left="5205" w:hanging="360"/>
      </w:pPr>
      <w:rPr>
        <w:rFonts w:ascii="Noto Sans Symbols" w:eastAsia="Noto Sans Symbols" w:hAnsi="Noto Sans Symbols" w:cs="Noto Sans Symbols"/>
        <w:vertAlign w:val="baseline"/>
      </w:rPr>
    </w:lvl>
    <w:lvl w:ilvl="7">
      <w:start w:val="1"/>
      <w:numFmt w:val="bullet"/>
      <w:lvlText w:val="o"/>
      <w:lvlJc w:val="left"/>
      <w:pPr>
        <w:ind w:left="5925" w:hanging="360"/>
      </w:pPr>
      <w:rPr>
        <w:rFonts w:ascii="Courier New" w:eastAsia="Courier New" w:hAnsi="Courier New" w:cs="Courier New"/>
        <w:vertAlign w:val="baseline"/>
      </w:rPr>
    </w:lvl>
    <w:lvl w:ilvl="8">
      <w:start w:val="1"/>
      <w:numFmt w:val="bullet"/>
      <w:lvlText w:val="▪"/>
      <w:lvlJc w:val="left"/>
      <w:pPr>
        <w:ind w:left="6645" w:hanging="360"/>
      </w:pPr>
      <w:rPr>
        <w:rFonts w:ascii="Noto Sans Symbols" w:eastAsia="Noto Sans Symbols" w:hAnsi="Noto Sans Symbols" w:cs="Noto Sans Symbols"/>
        <w:vertAlign w:val="baseline"/>
      </w:rPr>
    </w:lvl>
  </w:abstractNum>
  <w:num w:numId="1">
    <w:abstractNumId w:val="1"/>
  </w:num>
  <w:num w:numId="2">
    <w:abstractNumId w:val="6"/>
  </w:num>
  <w:num w:numId="3">
    <w:abstractNumId w:val="4"/>
  </w:num>
  <w:num w:numId="4">
    <w:abstractNumId w:val="9"/>
  </w:num>
  <w:num w:numId="5">
    <w:abstractNumId w:val="0"/>
  </w:num>
  <w:num w:numId="6">
    <w:abstractNumId w:val="8"/>
  </w:num>
  <w:num w:numId="7">
    <w:abstractNumId w:val="3"/>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FE"/>
    <w:rsid w:val="002E21B1"/>
    <w:rsid w:val="004307D4"/>
    <w:rsid w:val="0055769F"/>
    <w:rsid w:val="0066734B"/>
    <w:rsid w:val="00726429"/>
    <w:rsid w:val="00E010FE"/>
    <w:rsid w:val="00E61570"/>
    <w:rsid w:val="00F341BA"/>
    <w:rsid w:val="00FE1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33BA3"/>
  <w15:chartTrackingRefBased/>
  <w15:docId w15:val="{09AE6BB6-4A7A-4C24-97FA-23C5E261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10FE"/>
    <w:rPr>
      <w:rFonts w:ascii="Cambria" w:eastAsia="Cambria" w:hAnsi="Cambria" w:cs="Cambr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gunore,Заголовок 1.1,Заголовок а),Normal bullet 2"/>
    <w:basedOn w:val="a"/>
    <w:link w:val="a4"/>
    <w:uiPriority w:val="34"/>
    <w:qFormat/>
    <w:rsid w:val="00E010FE"/>
    <w:pPr>
      <w:ind w:left="720"/>
      <w:contextualSpacing/>
    </w:pPr>
  </w:style>
  <w:style w:type="paragraph" w:styleId="2">
    <w:name w:val="List Number 2"/>
    <w:rsid w:val="00FE14AA"/>
    <w:pPr>
      <w:numPr>
        <w:numId w:val="4"/>
      </w:numPr>
      <w:spacing w:after="0" w:line="240" w:lineRule="auto"/>
      <w:ind w:left="-1" w:hanging="1"/>
      <w:contextualSpacing/>
    </w:pPr>
    <w:rPr>
      <w:rFonts w:ascii="Cambria" w:eastAsia="Cambria" w:hAnsi="Cambria" w:cs="Cambria"/>
      <w:lang w:val="uk-UA" w:eastAsia="uk-UA"/>
    </w:rPr>
  </w:style>
  <w:style w:type="character" w:customStyle="1" w:styleId="a4">
    <w:name w:val="Абзац списка Знак"/>
    <w:aliases w:val="igunore Знак,Заголовок 1.1 Знак,Заголовок а) Знак,Normal bullet 2 Знак"/>
    <w:link w:val="a3"/>
    <w:uiPriority w:val="34"/>
    <w:rsid w:val="00FE14AA"/>
    <w:rPr>
      <w:rFonts w:ascii="Cambria" w:eastAsia="Cambria" w:hAnsi="Cambria" w:cs="Cambria"/>
      <w:lang w:val="uk-UA" w:eastAsia="uk-UA"/>
    </w:rPr>
  </w:style>
  <w:style w:type="paragraph" w:styleId="a5">
    <w:name w:val="Normal (Web)"/>
    <w:basedOn w:val="a"/>
    <w:uiPriority w:val="99"/>
    <w:semiHidden/>
    <w:unhideWhenUsed/>
    <w:rsid w:val="0055769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806362">
      <w:bodyDiv w:val="1"/>
      <w:marLeft w:val="0"/>
      <w:marRight w:val="0"/>
      <w:marTop w:val="0"/>
      <w:marBottom w:val="0"/>
      <w:divBdr>
        <w:top w:val="none" w:sz="0" w:space="0" w:color="auto"/>
        <w:left w:val="none" w:sz="0" w:space="0" w:color="auto"/>
        <w:bottom w:val="none" w:sz="0" w:space="0" w:color="auto"/>
        <w:right w:val="none" w:sz="0" w:space="0" w:color="auto"/>
      </w:divBdr>
      <w:divsChild>
        <w:div w:id="1894848004">
          <w:marLeft w:val="0"/>
          <w:marRight w:val="0"/>
          <w:marTop w:val="0"/>
          <w:marBottom w:val="0"/>
          <w:divBdr>
            <w:top w:val="none" w:sz="0" w:space="0" w:color="auto"/>
            <w:left w:val="none" w:sz="0" w:space="0" w:color="auto"/>
            <w:bottom w:val="none" w:sz="0" w:space="0" w:color="auto"/>
            <w:right w:val="none" w:sz="0" w:space="0" w:color="auto"/>
          </w:divBdr>
        </w:div>
        <w:div w:id="735472283">
          <w:marLeft w:val="0"/>
          <w:marRight w:val="0"/>
          <w:marTop w:val="0"/>
          <w:marBottom w:val="0"/>
          <w:divBdr>
            <w:top w:val="none" w:sz="0" w:space="0" w:color="auto"/>
            <w:left w:val="none" w:sz="0" w:space="0" w:color="auto"/>
            <w:bottom w:val="none" w:sz="0" w:space="0" w:color="auto"/>
            <w:right w:val="none" w:sz="0" w:space="0" w:color="auto"/>
          </w:divBdr>
          <w:divsChild>
            <w:div w:id="43719429">
              <w:marLeft w:val="0"/>
              <w:marRight w:val="0"/>
              <w:marTop w:val="0"/>
              <w:marBottom w:val="0"/>
              <w:divBdr>
                <w:top w:val="none" w:sz="0" w:space="0" w:color="auto"/>
                <w:left w:val="none" w:sz="0" w:space="0" w:color="auto"/>
                <w:bottom w:val="none" w:sz="0" w:space="0" w:color="auto"/>
                <w:right w:val="none" w:sz="0" w:space="0" w:color="auto"/>
              </w:divBdr>
              <w:divsChild>
                <w:div w:id="353388142">
                  <w:marLeft w:val="0"/>
                  <w:marRight w:val="0"/>
                  <w:marTop w:val="0"/>
                  <w:marBottom w:val="0"/>
                  <w:divBdr>
                    <w:top w:val="none" w:sz="0" w:space="0" w:color="auto"/>
                    <w:left w:val="none" w:sz="0" w:space="0" w:color="auto"/>
                    <w:bottom w:val="none" w:sz="0" w:space="0" w:color="auto"/>
                    <w:right w:val="none" w:sz="0" w:space="0" w:color="auto"/>
                  </w:divBdr>
                  <w:divsChild>
                    <w:div w:id="377314358">
                      <w:marLeft w:val="0"/>
                      <w:marRight w:val="0"/>
                      <w:marTop w:val="0"/>
                      <w:marBottom w:val="0"/>
                      <w:divBdr>
                        <w:top w:val="none" w:sz="0" w:space="0" w:color="auto"/>
                        <w:left w:val="none" w:sz="0" w:space="0" w:color="auto"/>
                        <w:bottom w:val="none" w:sz="0" w:space="0" w:color="auto"/>
                        <w:right w:val="none" w:sz="0" w:space="0" w:color="auto"/>
                      </w:divBdr>
                    </w:div>
                    <w:div w:id="741409335">
                      <w:marLeft w:val="0"/>
                      <w:marRight w:val="0"/>
                      <w:marTop w:val="0"/>
                      <w:marBottom w:val="0"/>
                      <w:divBdr>
                        <w:top w:val="none" w:sz="0" w:space="0" w:color="auto"/>
                        <w:left w:val="none" w:sz="0" w:space="0" w:color="auto"/>
                        <w:bottom w:val="none" w:sz="0" w:space="0" w:color="auto"/>
                        <w:right w:val="none" w:sz="0" w:space="0" w:color="auto"/>
                      </w:divBdr>
                    </w:div>
                    <w:div w:id="204578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Мамаєнко Наталія О.</dc:creator>
  <cp:keywords/>
  <dc:description/>
  <cp:lastModifiedBy>Голдіна Каріна А.</cp:lastModifiedBy>
  <cp:revision>5</cp:revision>
  <dcterms:created xsi:type="dcterms:W3CDTF">2026-01-21T15:09:00Z</dcterms:created>
  <dcterms:modified xsi:type="dcterms:W3CDTF">2026-04-03T11:21:00Z</dcterms:modified>
</cp:coreProperties>
</file>